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88A7" w14:textId="396DA8F3" w:rsidR="002728F4" w:rsidRPr="00E0730D" w:rsidRDefault="00546AAE" w:rsidP="00546AAE">
      <w:pPr>
        <w:jc w:val="center"/>
        <w:rPr>
          <w:rFonts w:ascii="Garamond" w:hAnsi="Garamond"/>
          <w:b/>
          <w:sz w:val="32"/>
          <w:szCs w:val="32"/>
          <w:vertAlign w:val="superscript"/>
        </w:rPr>
      </w:pPr>
      <w:r w:rsidRPr="00E0730D">
        <w:rPr>
          <w:rFonts w:ascii="Garamond" w:hAnsi="Garamond"/>
          <w:b/>
          <w:sz w:val="32"/>
          <w:szCs w:val="32"/>
        </w:rPr>
        <w:t>Stuart Ober</w:t>
      </w:r>
      <w:r w:rsidR="006558E1" w:rsidRPr="00E0730D">
        <w:rPr>
          <w:rFonts w:ascii="Garamond" w:hAnsi="Garamond"/>
          <w:b/>
          <w:sz w:val="32"/>
          <w:szCs w:val="32"/>
        </w:rPr>
        <w:t xml:space="preserve">, </w:t>
      </w:r>
      <w:r w:rsidR="00700B5B" w:rsidRPr="00E0730D">
        <w:rPr>
          <w:rFonts w:ascii="Garamond" w:hAnsi="Garamond"/>
          <w:b/>
          <w:sz w:val="32"/>
          <w:szCs w:val="32"/>
        </w:rPr>
        <w:t xml:space="preserve">CFE, </w:t>
      </w:r>
      <w:r w:rsidRPr="00E0730D">
        <w:rPr>
          <w:rFonts w:ascii="Garamond" w:hAnsi="Garamond"/>
          <w:b/>
          <w:sz w:val="32"/>
          <w:szCs w:val="32"/>
        </w:rPr>
        <w:t>AIFA</w:t>
      </w:r>
      <w:r w:rsidRPr="00E0730D">
        <w:rPr>
          <w:rFonts w:ascii="Garamond" w:hAnsi="Garamond"/>
          <w:b/>
          <w:sz w:val="32"/>
          <w:szCs w:val="32"/>
          <w:vertAlign w:val="superscript"/>
        </w:rPr>
        <w:t>®</w:t>
      </w:r>
    </w:p>
    <w:p w14:paraId="5B692570" w14:textId="77777777" w:rsidR="00E0730D" w:rsidRPr="00515352" w:rsidRDefault="00E0730D" w:rsidP="00546AAE">
      <w:pPr>
        <w:jc w:val="center"/>
        <w:rPr>
          <w:rFonts w:ascii="Garamond" w:hAnsi="Garamond"/>
          <w:b/>
          <w:sz w:val="40"/>
          <w:szCs w:val="40"/>
        </w:rPr>
      </w:pPr>
    </w:p>
    <w:p w14:paraId="6BCE316C" w14:textId="77777777" w:rsidR="005F2C66" w:rsidRPr="005F2C66" w:rsidRDefault="005F2C66" w:rsidP="005F2C66">
      <w:pPr>
        <w:keepNext/>
        <w:keepLines/>
        <w:spacing w:line="259" w:lineRule="auto"/>
        <w:ind w:left="580" w:hanging="10"/>
        <w:jc w:val="center"/>
        <w:outlineLvl w:val="2"/>
        <w:rPr>
          <w:b/>
          <w:color w:val="000000"/>
          <w:szCs w:val="22"/>
          <w:u w:val="single" w:color="000000"/>
        </w:rPr>
      </w:pPr>
      <w:bookmarkStart w:id="0" w:name="_Toc392230620"/>
      <w:r w:rsidRPr="005F2C66">
        <w:rPr>
          <w:b/>
          <w:color w:val="000000"/>
          <w:szCs w:val="22"/>
          <w:u w:val="single" w:color="000000"/>
        </w:rPr>
        <w:t>CURRICULUM VITAE</w:t>
      </w:r>
      <w:bookmarkEnd w:id="0"/>
      <w:r w:rsidRPr="005F2C66">
        <w:rPr>
          <w:b/>
          <w:color w:val="000000"/>
          <w:szCs w:val="22"/>
          <w:u w:color="000000"/>
        </w:rPr>
        <w:t xml:space="preserve"> </w:t>
      </w:r>
    </w:p>
    <w:p w14:paraId="604AE01D" w14:textId="77777777" w:rsidR="005F2C66" w:rsidRPr="005F2C66" w:rsidRDefault="005F2C66" w:rsidP="005F2C66">
      <w:pPr>
        <w:spacing w:line="259" w:lineRule="auto"/>
        <w:ind w:left="630"/>
        <w:jc w:val="center"/>
        <w:rPr>
          <w:color w:val="000000"/>
          <w:szCs w:val="22"/>
        </w:rPr>
      </w:pPr>
      <w:r w:rsidRPr="005F2C66">
        <w:rPr>
          <w:b/>
          <w:color w:val="000000"/>
          <w:szCs w:val="22"/>
        </w:rPr>
        <w:t xml:space="preserve"> </w:t>
      </w:r>
    </w:p>
    <w:p w14:paraId="33849752" w14:textId="77777777" w:rsidR="005F2C66" w:rsidRPr="005F2C66" w:rsidRDefault="005F2C66" w:rsidP="005F2C66">
      <w:pPr>
        <w:spacing w:after="10" w:line="249" w:lineRule="auto"/>
        <w:ind w:left="2880" w:right="2520"/>
        <w:jc w:val="center"/>
        <w:rPr>
          <w:color w:val="000000"/>
          <w:szCs w:val="22"/>
        </w:rPr>
      </w:pPr>
      <w:r w:rsidRPr="005F2C66">
        <w:rPr>
          <w:b/>
          <w:color w:val="000000"/>
          <w:szCs w:val="22"/>
        </w:rPr>
        <w:t>Securities Investigations, Inc. Post Office Box 888</w:t>
      </w:r>
    </w:p>
    <w:p w14:paraId="00ADF604" w14:textId="77777777" w:rsidR="005F2C66" w:rsidRPr="005F2C66" w:rsidRDefault="005F2C66" w:rsidP="005F2C66">
      <w:pPr>
        <w:spacing w:after="10" w:line="249" w:lineRule="auto"/>
        <w:ind w:left="581" w:right="2" w:hanging="10"/>
        <w:jc w:val="center"/>
        <w:rPr>
          <w:color w:val="000000"/>
          <w:szCs w:val="22"/>
        </w:rPr>
      </w:pPr>
      <w:r w:rsidRPr="005F2C66">
        <w:rPr>
          <w:b/>
          <w:color w:val="000000"/>
          <w:szCs w:val="22"/>
        </w:rPr>
        <w:t xml:space="preserve">Woodstock, New York 12498 </w:t>
      </w:r>
    </w:p>
    <w:p w14:paraId="2CC3A709" w14:textId="77777777" w:rsidR="005F2C66" w:rsidRPr="005F2C66" w:rsidRDefault="004A7248" w:rsidP="005F2C66">
      <w:pPr>
        <w:spacing w:after="10" w:line="249" w:lineRule="auto"/>
        <w:ind w:left="581" w:hanging="10"/>
        <w:jc w:val="center"/>
        <w:rPr>
          <w:color w:val="000000"/>
          <w:szCs w:val="22"/>
        </w:rPr>
      </w:pPr>
      <w:r>
        <w:rPr>
          <w:b/>
          <w:color w:val="000000"/>
          <w:szCs w:val="22"/>
        </w:rPr>
        <w:t xml:space="preserve">Telephone: </w:t>
      </w:r>
      <w:r w:rsidR="005F2C66" w:rsidRPr="005F2C66">
        <w:rPr>
          <w:b/>
          <w:color w:val="000000"/>
          <w:szCs w:val="22"/>
        </w:rPr>
        <w:t xml:space="preserve">(845) 679-2300 </w:t>
      </w:r>
    </w:p>
    <w:p w14:paraId="68EBC4DB" w14:textId="77777777" w:rsidR="005F2C66" w:rsidRPr="005F2C66" w:rsidRDefault="005F2C66" w:rsidP="005F2C66">
      <w:pPr>
        <w:spacing w:after="10" w:line="249" w:lineRule="auto"/>
        <w:ind w:left="581" w:hanging="10"/>
        <w:jc w:val="center"/>
        <w:rPr>
          <w:color w:val="000000"/>
          <w:szCs w:val="22"/>
        </w:rPr>
      </w:pPr>
      <w:r w:rsidRPr="005F2C66">
        <w:rPr>
          <w:b/>
          <w:color w:val="000000"/>
          <w:szCs w:val="22"/>
        </w:rPr>
        <w:t xml:space="preserve">Facsimile: (845) 679-2301 </w:t>
      </w:r>
    </w:p>
    <w:p w14:paraId="37EC00EE" w14:textId="77777777" w:rsidR="005F2C66" w:rsidRPr="005F2C66" w:rsidRDefault="005F2C66" w:rsidP="005F2C66">
      <w:pPr>
        <w:spacing w:after="10" w:line="249" w:lineRule="auto"/>
        <w:ind w:left="581" w:hanging="10"/>
        <w:jc w:val="center"/>
        <w:rPr>
          <w:color w:val="000000"/>
          <w:szCs w:val="22"/>
        </w:rPr>
      </w:pPr>
      <w:r w:rsidRPr="005F2C66">
        <w:rPr>
          <w:b/>
          <w:color w:val="000000"/>
          <w:szCs w:val="22"/>
        </w:rPr>
        <w:t>E-Mail: ober@stuartober.com</w:t>
      </w:r>
      <w:r w:rsidRPr="005F2C66">
        <w:rPr>
          <w:color w:val="000000"/>
          <w:szCs w:val="22"/>
        </w:rPr>
        <w:t xml:space="preserve"> </w:t>
      </w:r>
    </w:p>
    <w:p w14:paraId="73EC73E3" w14:textId="77777777" w:rsidR="005F2C66" w:rsidRPr="005F2C66" w:rsidRDefault="005F2C66" w:rsidP="005F2C66">
      <w:pPr>
        <w:spacing w:line="259" w:lineRule="auto"/>
        <w:ind w:left="630"/>
        <w:rPr>
          <w:color w:val="000000"/>
          <w:szCs w:val="22"/>
        </w:rPr>
      </w:pPr>
      <w:r w:rsidRPr="005F2C66">
        <w:rPr>
          <w:color w:val="000000"/>
          <w:szCs w:val="22"/>
        </w:rPr>
        <w:t xml:space="preserve"> </w:t>
      </w:r>
    </w:p>
    <w:p w14:paraId="5126CBF7" w14:textId="77777777" w:rsidR="005F2C66" w:rsidRPr="005F2C66" w:rsidRDefault="005F2C66" w:rsidP="005F2C66"/>
    <w:p w14:paraId="586BB059" w14:textId="77777777" w:rsidR="005F2C66" w:rsidRPr="005F2C66" w:rsidRDefault="005F2C66" w:rsidP="005F2C66">
      <w:pPr>
        <w:rPr>
          <w:b/>
        </w:rPr>
      </w:pPr>
      <w:r w:rsidRPr="005F2C66">
        <w:rPr>
          <w:b/>
        </w:rPr>
        <w:t>EXPERIENCE.</w:t>
      </w:r>
    </w:p>
    <w:p w14:paraId="36593C92" w14:textId="77777777" w:rsidR="005F2C66" w:rsidRPr="005F2C66" w:rsidRDefault="005F2C66" w:rsidP="005F2C66"/>
    <w:p w14:paraId="187578A5" w14:textId="040CE3C0" w:rsidR="005F2C66" w:rsidRPr="005F2C66" w:rsidRDefault="005F2C66" w:rsidP="005F2C66">
      <w:r w:rsidRPr="005F2C66">
        <w:rPr>
          <w:b/>
        </w:rPr>
        <w:t>President, Securities Investigations, Inc.</w:t>
      </w:r>
      <w:r w:rsidRPr="005F2C66">
        <w:t xml:space="preserve"> —</w:t>
      </w:r>
      <w:r w:rsidR="004A31EA">
        <w:t xml:space="preserve"> </w:t>
      </w:r>
      <w:r w:rsidRPr="005F2C66">
        <w:t xml:space="preserve">due diligence, expert witness, consulting, and investment research firm (founded in 1981 – </w:t>
      </w:r>
      <w:r w:rsidR="00FD53E5">
        <w:t>p</w:t>
      </w:r>
      <w:r w:rsidRPr="005F2C66">
        <w:t>resent).</w:t>
      </w:r>
    </w:p>
    <w:p w14:paraId="6DA20FFB" w14:textId="06D64A60" w:rsidR="005F2C66" w:rsidRPr="005F2C66" w:rsidRDefault="005F2C66" w:rsidP="005F2C66">
      <w:r w:rsidRPr="005F2C66">
        <w:rPr>
          <w:b/>
        </w:rPr>
        <w:t>Registered Investment Adviser</w:t>
      </w:r>
      <w:r w:rsidRPr="005F2C66">
        <w:t xml:space="preserve"> — President and Principal (1984–1997).</w:t>
      </w:r>
    </w:p>
    <w:p w14:paraId="7D4BF94E" w14:textId="77777777" w:rsidR="005F2C66" w:rsidRPr="005F2C66" w:rsidRDefault="005F2C66" w:rsidP="005F2C66"/>
    <w:p w14:paraId="66A81F8B" w14:textId="1D2AB7CD" w:rsidR="005F2C66" w:rsidRPr="005F2C66" w:rsidRDefault="005F2C66" w:rsidP="005F2C66">
      <w:r w:rsidRPr="005F2C66">
        <w:t xml:space="preserve">Over </w:t>
      </w:r>
      <w:r w:rsidR="000269BF">
        <w:t>four decades</w:t>
      </w:r>
      <w:r w:rsidR="00AE38C1">
        <w:t>’</w:t>
      </w:r>
      <w:bookmarkStart w:id="1" w:name="_GoBack"/>
      <w:bookmarkEnd w:id="1"/>
      <w:r w:rsidR="003D0358">
        <w:t xml:space="preserve"> </w:t>
      </w:r>
      <w:r w:rsidRPr="005F2C66">
        <w:t>experience as</w:t>
      </w:r>
      <w:r w:rsidR="000C53BA">
        <w:t xml:space="preserve"> a</w:t>
      </w:r>
      <w:r w:rsidR="00966721">
        <w:t>n investment and</w:t>
      </w:r>
      <w:r w:rsidR="000C53BA">
        <w:t xml:space="preserve"> securities professional and thirty</w:t>
      </w:r>
      <w:r w:rsidRPr="005F2C66">
        <w:t>-five years as an expert</w:t>
      </w:r>
      <w:r w:rsidR="00696EBB">
        <w:t xml:space="preserve"> witness.</w:t>
      </w:r>
    </w:p>
    <w:p w14:paraId="5ACEFB39" w14:textId="77777777" w:rsidR="005F2C66" w:rsidRPr="005F2C66" w:rsidRDefault="005F2C66" w:rsidP="005F2C66"/>
    <w:p w14:paraId="5188B0D8" w14:textId="65273537" w:rsidR="005F2C66" w:rsidRPr="005F2C66" w:rsidRDefault="005F2C66" w:rsidP="005F2C66">
      <w:r w:rsidRPr="005F2C66">
        <w:rPr>
          <w:b/>
        </w:rPr>
        <w:t>Consultant and expert</w:t>
      </w:r>
      <w:r w:rsidRPr="005F2C66">
        <w:t xml:space="preserve"> in </w:t>
      </w:r>
      <w:r w:rsidR="00E1269B">
        <w:t>securities</w:t>
      </w:r>
      <w:r w:rsidRPr="005F2C66">
        <w:t xml:space="preserve"> arbitration and litigation, including</w:t>
      </w:r>
      <w:r w:rsidR="00F50CB8">
        <w:t xml:space="preserve"> </w:t>
      </w:r>
      <w:r w:rsidR="00CF00B0">
        <w:t xml:space="preserve">private </w:t>
      </w:r>
      <w:r w:rsidR="00B04C12">
        <w:t xml:space="preserve">placements </w:t>
      </w:r>
      <w:r w:rsidR="00CF00B0">
        <w:t xml:space="preserve">and public </w:t>
      </w:r>
      <w:r w:rsidR="00B04C12">
        <w:t>offerings</w:t>
      </w:r>
      <w:r w:rsidR="00B22E6A">
        <w:t xml:space="preserve"> </w:t>
      </w:r>
      <w:r w:rsidR="006E3BB6">
        <w:t xml:space="preserve">- </w:t>
      </w:r>
      <w:r w:rsidR="003D52C4" w:rsidRPr="005F2C66">
        <w:t xml:space="preserve">fiduciary </w:t>
      </w:r>
      <w:r w:rsidR="003D52C4">
        <w:t xml:space="preserve">duties and </w:t>
      </w:r>
      <w:r w:rsidR="003D52C4" w:rsidRPr="005F2C66">
        <w:t>responsibilities</w:t>
      </w:r>
      <w:r w:rsidR="003D52C4">
        <w:t xml:space="preserve">, Ponzi schemes, </w:t>
      </w:r>
      <w:r w:rsidR="00A850BE" w:rsidRPr="005F2C66">
        <w:t>compliance</w:t>
      </w:r>
      <w:r w:rsidR="00A850BE">
        <w:t xml:space="preserve"> and supervision,</w:t>
      </w:r>
      <w:r w:rsidR="00A850BE" w:rsidRPr="005F2C66">
        <w:t xml:space="preserve"> </w:t>
      </w:r>
      <w:r w:rsidR="00FE7E75">
        <w:t xml:space="preserve">due diligence, </w:t>
      </w:r>
      <w:r w:rsidR="00A850BE" w:rsidRPr="005F2C66">
        <w:t xml:space="preserve">suitability, </w:t>
      </w:r>
      <w:r w:rsidR="004413CA">
        <w:t xml:space="preserve">Ponzi schemes, fraud, </w:t>
      </w:r>
      <w:r w:rsidR="003D52C4">
        <w:t xml:space="preserve">506(b) and 506(c), </w:t>
      </w:r>
      <w:r w:rsidR="00085659">
        <w:t xml:space="preserve">selling away, </w:t>
      </w:r>
      <w:r w:rsidRPr="005F2C66">
        <w:t xml:space="preserve">broker conduct, asset allocation, damage calculations, </w:t>
      </w:r>
      <w:r w:rsidR="00085659">
        <w:t>equity and fixed income investments</w:t>
      </w:r>
      <w:r w:rsidRPr="005F2C66">
        <w:t>, tax shelters, and disclosure responsibilities.</w:t>
      </w:r>
    </w:p>
    <w:p w14:paraId="03F520F8" w14:textId="77777777" w:rsidR="005F2C66" w:rsidRPr="005F2C66" w:rsidRDefault="005F2C66" w:rsidP="005F2C66"/>
    <w:p w14:paraId="6DFE7D0B" w14:textId="0C242459" w:rsidR="005F2C66" w:rsidRPr="005F2C66" w:rsidRDefault="005F2C66" w:rsidP="005F2C66">
      <w:r w:rsidRPr="005F2C66">
        <w:rPr>
          <w:b/>
        </w:rPr>
        <w:t>Financial Products Standards Board</w:t>
      </w:r>
      <w:r w:rsidRPr="005F2C66">
        <w:t xml:space="preserve"> of the Institute for Certified Financial Planners — established industry standards in </w:t>
      </w:r>
      <w:r w:rsidR="00CF00B0">
        <w:t>private placements</w:t>
      </w:r>
      <w:r w:rsidR="007C7DB0">
        <w:t xml:space="preserve"> and public offerings</w:t>
      </w:r>
      <w:r w:rsidR="00CF00B0">
        <w:t xml:space="preserve">, </w:t>
      </w:r>
      <w:r w:rsidRPr="005F2C66">
        <w:t xml:space="preserve">due diligence, investor suitability, real estate, oil and gas, mutual funds, insurance products, and equipment leasing - </w:t>
      </w:r>
      <w:r w:rsidRPr="00403FAD">
        <w:rPr>
          <w:b/>
        </w:rPr>
        <w:t>Chairperson</w:t>
      </w:r>
      <w:r w:rsidRPr="005F2C66">
        <w:t xml:space="preserve"> of Insurance Task Force</w:t>
      </w:r>
      <w:r w:rsidR="000269BF">
        <w:t xml:space="preserve"> (1989-1990), </w:t>
      </w:r>
      <w:r w:rsidR="000269BF" w:rsidRPr="005F2C66">
        <w:rPr>
          <w:b/>
        </w:rPr>
        <w:t>Member</w:t>
      </w:r>
      <w:r w:rsidR="000269BF" w:rsidRPr="005F2C66">
        <w:t xml:space="preserve"> (1986–1990)</w:t>
      </w:r>
      <w:r w:rsidR="000269BF">
        <w:t>.</w:t>
      </w:r>
    </w:p>
    <w:p w14:paraId="570FFC9D" w14:textId="77777777" w:rsidR="005F2C66" w:rsidRPr="005F2C66" w:rsidRDefault="005F2C66" w:rsidP="005F2C66"/>
    <w:p w14:paraId="1B5B0959" w14:textId="77777777" w:rsidR="005F2C66" w:rsidRPr="005F2C66" w:rsidRDefault="005F2C66" w:rsidP="005F2C66">
      <w:r w:rsidRPr="005F2C66">
        <w:rPr>
          <w:b/>
        </w:rPr>
        <w:t>Board of Advisors</w:t>
      </w:r>
      <w:r w:rsidRPr="005F2C66">
        <w:t xml:space="preserve"> for </w:t>
      </w:r>
      <w:r w:rsidRPr="005F2C66">
        <w:rPr>
          <w:i/>
        </w:rPr>
        <w:t>Personal Financial Planning</w:t>
      </w:r>
      <w:r w:rsidRPr="005F2C66">
        <w:t>, a bimonthly publica</w:t>
      </w:r>
      <w:r w:rsidR="000269BF">
        <w:t>tion of Warren, Gorham &amp; Lamont,</w:t>
      </w:r>
      <w:r w:rsidR="000269BF" w:rsidRPr="000269BF">
        <w:rPr>
          <w:b/>
        </w:rPr>
        <w:t xml:space="preserve"> </w:t>
      </w:r>
      <w:r w:rsidR="000269BF" w:rsidRPr="000269BF">
        <w:t>Member</w:t>
      </w:r>
      <w:r w:rsidR="000269BF" w:rsidRPr="005F2C66">
        <w:t xml:space="preserve"> (1988–2000)</w:t>
      </w:r>
      <w:r w:rsidR="000269BF">
        <w:t>.</w:t>
      </w:r>
    </w:p>
    <w:p w14:paraId="0E826DE8" w14:textId="77777777" w:rsidR="005F2C66" w:rsidRPr="005F2C66" w:rsidRDefault="005F2C66" w:rsidP="005F2C66"/>
    <w:p w14:paraId="3CBF1734" w14:textId="0A4478F0" w:rsidR="005F2C66" w:rsidRDefault="005F2C66" w:rsidP="005F2C66">
      <w:r w:rsidRPr="005F2C66">
        <w:rPr>
          <w:b/>
        </w:rPr>
        <w:t>Accredited Investment Fiduciary Analyst</w:t>
      </w:r>
      <w:r w:rsidRPr="005F2C66">
        <w:t>™ — Center for Fiduciary Studies, Katz Graduate School of Business, University of Pittsburgh (2004)</w:t>
      </w:r>
      <w:r w:rsidR="00D94CFA">
        <w:t>.</w:t>
      </w:r>
    </w:p>
    <w:p w14:paraId="09E9E908" w14:textId="77777777" w:rsidR="00E0730D" w:rsidRDefault="00E0730D" w:rsidP="005F2C66">
      <w:r>
        <w:t xml:space="preserve">Reviewed over 150 investment portfolios since 2009 to assess </w:t>
      </w:r>
      <w:r w:rsidR="000C53BA">
        <w:t xml:space="preserve">whether </w:t>
      </w:r>
      <w:r>
        <w:t xml:space="preserve">portfolios were </w:t>
      </w:r>
    </w:p>
    <w:p w14:paraId="6D9D81CA" w14:textId="13CF152C" w:rsidR="00E0730D" w:rsidRPr="005F2C66" w:rsidRDefault="00E0730D" w:rsidP="005F2C66">
      <w:r>
        <w:t>compliant with fiduciary standards</w:t>
      </w:r>
      <w:r w:rsidR="004413CA">
        <w:t>.</w:t>
      </w:r>
    </w:p>
    <w:p w14:paraId="4E8910D4" w14:textId="68B4840A" w:rsidR="000C53BA" w:rsidRDefault="000C53BA" w:rsidP="000C53BA">
      <w:r w:rsidRPr="000269BF">
        <w:rPr>
          <w:b/>
        </w:rPr>
        <w:t>External Reviewer</w:t>
      </w:r>
      <w:r w:rsidRPr="005F2C66">
        <w:t xml:space="preserve">, Contributor, Quality Control Adviser for Update fi360’s </w:t>
      </w:r>
      <w:r w:rsidRPr="005F2C66">
        <w:rPr>
          <w:i/>
        </w:rPr>
        <w:t>Prudent Practices for Investment Advisors</w:t>
      </w:r>
      <w:r w:rsidRPr="005F2C66">
        <w:t xml:space="preserve"> and </w:t>
      </w:r>
      <w:r w:rsidRPr="005F2C66">
        <w:rPr>
          <w:i/>
        </w:rPr>
        <w:t>Prudent Practices for Investment Stewards</w:t>
      </w:r>
      <w:r w:rsidRPr="005F2C66">
        <w:t xml:space="preserve"> (2011-2012), Published 2013</w:t>
      </w:r>
      <w:r w:rsidR="004413CA">
        <w:t>.</w:t>
      </w:r>
    </w:p>
    <w:p w14:paraId="7B5764F6" w14:textId="77777777" w:rsidR="000C53BA" w:rsidRPr="005F2C66" w:rsidRDefault="000C53BA" w:rsidP="000C53BA">
      <w:r w:rsidRPr="000269BF">
        <w:rPr>
          <w:b/>
        </w:rPr>
        <w:lastRenderedPageBreak/>
        <w:t>fi360 Certification Review Committee</w:t>
      </w:r>
      <w:r>
        <w:t xml:space="preserve"> Member</w:t>
      </w:r>
      <w:r w:rsidR="00151592">
        <w:t xml:space="preserve"> </w:t>
      </w:r>
      <w:r w:rsidR="00A550DF">
        <w:t>-</w:t>
      </w:r>
      <w:r w:rsidR="00151592">
        <w:t xml:space="preserve"> review cases of potential fiduciary misconduct</w:t>
      </w:r>
      <w:r>
        <w:t xml:space="preserve"> to </w:t>
      </w:r>
      <w:r w:rsidR="00442167">
        <w:t>safe</w:t>
      </w:r>
      <w:r w:rsidR="00151592">
        <w:t>guard</w:t>
      </w:r>
      <w:r>
        <w:t xml:space="preserve"> the integrity of the AIF® and AIFA® </w:t>
      </w:r>
      <w:r w:rsidR="00151592">
        <w:t xml:space="preserve">Professional </w:t>
      </w:r>
      <w:r>
        <w:t>Designations (2014-2017).</w:t>
      </w:r>
    </w:p>
    <w:p w14:paraId="62C92A4D" w14:textId="08FCDE26" w:rsidR="005F2C66" w:rsidRPr="005F2C66" w:rsidRDefault="005F2C66" w:rsidP="005F2C66">
      <w:r w:rsidRPr="005F2C66">
        <w:t xml:space="preserve">Among </w:t>
      </w:r>
      <w:r w:rsidR="000C53BA">
        <w:t>f</w:t>
      </w:r>
      <w:r w:rsidRPr="005F2C66">
        <w:t xml:space="preserve">irst 50 </w:t>
      </w:r>
      <w:r w:rsidR="000C53BA">
        <w:t>p</w:t>
      </w:r>
      <w:r w:rsidRPr="005F2C66">
        <w:t xml:space="preserve">eople to </w:t>
      </w:r>
      <w:r w:rsidR="000C53BA">
        <w:t>s</w:t>
      </w:r>
      <w:r w:rsidRPr="005F2C66">
        <w:t xml:space="preserve">uccessfully </w:t>
      </w:r>
      <w:r w:rsidR="000C53BA">
        <w:t>c</w:t>
      </w:r>
      <w:r w:rsidRPr="005F2C66">
        <w:t>omplete ISO-Based Training Class (2006)</w:t>
      </w:r>
      <w:r w:rsidR="004413CA">
        <w:t>.</w:t>
      </w:r>
      <w:r w:rsidRPr="005F2C66">
        <w:t xml:space="preserve"> </w:t>
      </w:r>
    </w:p>
    <w:p w14:paraId="5A68AC67" w14:textId="0BFB1D6B" w:rsidR="005F2C66" w:rsidRPr="005F2C66" w:rsidRDefault="005F2C66" w:rsidP="005F2C66">
      <w:r w:rsidRPr="005F2C66">
        <w:t xml:space="preserve">Among </w:t>
      </w:r>
      <w:r w:rsidR="000C53BA">
        <w:t>f</w:t>
      </w:r>
      <w:r w:rsidRPr="005F2C66">
        <w:t xml:space="preserve">irst 9 People to </w:t>
      </w:r>
      <w:r w:rsidR="000C53BA">
        <w:t>s</w:t>
      </w:r>
      <w:r w:rsidRPr="005F2C66">
        <w:t xml:space="preserve">uccessfully </w:t>
      </w:r>
      <w:r w:rsidR="000C53BA">
        <w:t>c</w:t>
      </w:r>
      <w:r w:rsidRPr="005F2C66">
        <w:t>omplete Investment Manager Certification Training (2006)</w:t>
      </w:r>
      <w:r w:rsidR="004413CA">
        <w:t>.</w:t>
      </w:r>
    </w:p>
    <w:p w14:paraId="7CAAE2DA" w14:textId="28CE6FF4" w:rsidR="005F2C66" w:rsidRPr="005F2C66" w:rsidRDefault="005F2C66" w:rsidP="005F2C66">
      <w:r w:rsidRPr="005F2C66">
        <w:t xml:space="preserve">Among </w:t>
      </w:r>
      <w:r w:rsidR="000C53BA">
        <w:t>f</w:t>
      </w:r>
      <w:r w:rsidRPr="005F2C66">
        <w:t xml:space="preserve">irst 50 </w:t>
      </w:r>
      <w:r w:rsidR="000C53BA">
        <w:t>p</w:t>
      </w:r>
      <w:r w:rsidRPr="005F2C66">
        <w:t xml:space="preserve">eople to </w:t>
      </w:r>
      <w:r w:rsidR="000C53BA">
        <w:t>r</w:t>
      </w:r>
      <w:r w:rsidRPr="005F2C66">
        <w:t xml:space="preserve">eceive </w:t>
      </w:r>
      <w:r w:rsidR="000C53BA">
        <w:t>t</w:t>
      </w:r>
      <w:r w:rsidRPr="005F2C66">
        <w:t>raining for CEFEX Update (2012)</w:t>
      </w:r>
      <w:r w:rsidR="004413CA">
        <w:t>.</w:t>
      </w:r>
    </w:p>
    <w:p w14:paraId="42CDB391" w14:textId="77777777" w:rsidR="005F2C66" w:rsidRPr="005F2C66" w:rsidRDefault="005F2C66" w:rsidP="005F2C66">
      <w:r w:rsidRPr="005F2C66">
        <w:t>Conducted one of the first Cent</w:t>
      </w:r>
      <w:r w:rsidR="000C53BA">
        <w:t>re</w:t>
      </w:r>
      <w:r w:rsidRPr="005F2C66">
        <w:t xml:space="preserve"> for Fiduciary Excellence (CEFEX) “Certification of Investment Support Services for Fiduciaries” assessments</w:t>
      </w:r>
      <w:r w:rsidR="000C53BA">
        <w:t>.</w:t>
      </w:r>
    </w:p>
    <w:p w14:paraId="686E8A94" w14:textId="77777777" w:rsidR="005F2C66" w:rsidRPr="005F2C66" w:rsidRDefault="005F2C66" w:rsidP="005F2C66"/>
    <w:p w14:paraId="73C745DA" w14:textId="77777777" w:rsidR="005F2C66" w:rsidRPr="005F2C66" w:rsidRDefault="005F2C66" w:rsidP="005F2C66">
      <w:r w:rsidRPr="005F2C66">
        <w:rPr>
          <w:b/>
        </w:rPr>
        <w:t>Certified Fraud Examiner</w:t>
      </w:r>
      <w:r w:rsidRPr="005F2C66">
        <w:t xml:space="preserve"> — Association of Certified Fraud Examiners (Since 2005).</w:t>
      </w:r>
    </w:p>
    <w:p w14:paraId="3ECFA03A" w14:textId="77777777" w:rsidR="005F2C66" w:rsidRPr="005F2C66" w:rsidRDefault="005F2C66" w:rsidP="005F2C66"/>
    <w:p w14:paraId="3E42976E" w14:textId="11C90C89" w:rsidR="005F2C66" w:rsidRPr="005F2C66" w:rsidRDefault="005F2C66" w:rsidP="005F2C66">
      <w:r w:rsidRPr="005F2C66">
        <w:rPr>
          <w:b/>
        </w:rPr>
        <w:t xml:space="preserve">Arbitrator </w:t>
      </w:r>
      <w:r w:rsidRPr="005F2C66">
        <w:t>with Financial Industry Regulatory Authority Dispute Resolution (2007</w:t>
      </w:r>
      <w:r w:rsidR="00085659">
        <w:t xml:space="preserve"> to Present</w:t>
      </w:r>
      <w:r w:rsidRPr="005F2C66">
        <w:t>)</w:t>
      </w:r>
      <w:r w:rsidR="004413CA">
        <w:t>.</w:t>
      </w:r>
    </w:p>
    <w:p w14:paraId="1BB81FF2" w14:textId="3ED1CFDA" w:rsidR="005F2C66" w:rsidRPr="005F2C66" w:rsidRDefault="005F2C66" w:rsidP="005F2C66">
      <w:r w:rsidRPr="005F2C66">
        <w:rPr>
          <w:b/>
        </w:rPr>
        <w:t>Arbitrator</w:t>
      </w:r>
      <w:r w:rsidRPr="005F2C66">
        <w:t xml:space="preserve"> (Chairperson Qualified 2003) with the National Association of Securities Dealers Dispute Resolution Board of Arbitrators (</w:t>
      </w:r>
      <w:r w:rsidR="00085659">
        <w:t>Arbitrator</w:t>
      </w:r>
      <w:r w:rsidRPr="005F2C66">
        <w:t xml:space="preserve"> from 2002 to 2007)</w:t>
      </w:r>
      <w:r w:rsidR="004413CA">
        <w:t>.</w:t>
      </w:r>
    </w:p>
    <w:p w14:paraId="01AE373F" w14:textId="63999D52" w:rsidR="005F2C66" w:rsidRPr="005F2C66" w:rsidRDefault="005F2C66" w:rsidP="005F2C66">
      <w:r w:rsidRPr="005F2C66">
        <w:rPr>
          <w:b/>
        </w:rPr>
        <w:t>Arbitrator</w:t>
      </w:r>
      <w:r w:rsidRPr="005F2C66">
        <w:t xml:space="preserve"> with the New York Stock Exchange (2003 to 2007)</w:t>
      </w:r>
      <w:r w:rsidR="004413CA">
        <w:t>.</w:t>
      </w:r>
    </w:p>
    <w:p w14:paraId="138A256F" w14:textId="732DF269" w:rsidR="005F2C66" w:rsidRPr="005F2C66" w:rsidRDefault="005F2C66" w:rsidP="005F2C66">
      <w:r w:rsidRPr="005F2C66">
        <w:rPr>
          <w:b/>
        </w:rPr>
        <w:t>Arbitrator</w:t>
      </w:r>
      <w:r w:rsidRPr="005F2C66">
        <w:t xml:space="preserve"> with the National Futures Association (Since 2003)</w:t>
      </w:r>
      <w:r w:rsidR="004413CA">
        <w:t>.</w:t>
      </w:r>
    </w:p>
    <w:p w14:paraId="35CAD9FC" w14:textId="6A9A117C" w:rsidR="005F2C66" w:rsidRPr="005F2C66" w:rsidRDefault="005F2C66" w:rsidP="005F2C66">
      <w:r w:rsidRPr="005F2C66">
        <w:rPr>
          <w:b/>
        </w:rPr>
        <w:t>Arbitrator</w:t>
      </w:r>
      <w:r w:rsidRPr="005F2C66">
        <w:t xml:space="preserve"> with the American Arbitration Association (1980s)</w:t>
      </w:r>
      <w:r w:rsidR="004413CA">
        <w:t>.</w:t>
      </w:r>
      <w:r w:rsidRPr="005F2C66">
        <w:t xml:space="preserve"> </w:t>
      </w:r>
    </w:p>
    <w:p w14:paraId="42196E0A" w14:textId="21BF8ABF" w:rsidR="005F2C66" w:rsidRPr="005F2C66" w:rsidRDefault="005F2C66" w:rsidP="005F2C66">
      <w:r w:rsidRPr="005F2C66">
        <w:rPr>
          <w:b/>
        </w:rPr>
        <w:t>Mediator</w:t>
      </w:r>
      <w:r w:rsidRPr="005F2C66">
        <w:t xml:space="preserve"> (Certified 2004) with Woodstock Justice Court (2004)</w:t>
      </w:r>
      <w:r w:rsidR="004413CA">
        <w:t>,</w:t>
      </w:r>
      <w:r w:rsidRPr="005F2C66">
        <w:t xml:space="preserve"> Common Ground (2003</w:t>
      </w:r>
      <w:r w:rsidR="00C734A1">
        <w:t xml:space="preserve"> to Present</w:t>
      </w:r>
      <w:r w:rsidRPr="005F2C66">
        <w:t>)</w:t>
      </w:r>
      <w:r w:rsidR="004413CA">
        <w:t>, United States Department of Agriculture (2014 to Present).</w:t>
      </w:r>
    </w:p>
    <w:p w14:paraId="649F5923" w14:textId="77777777" w:rsidR="005F2C66" w:rsidRPr="005F2C66" w:rsidRDefault="005F2C66" w:rsidP="005F2C66"/>
    <w:p w14:paraId="502B75F2" w14:textId="77777777" w:rsidR="005F2C66" w:rsidRPr="005F2C66" w:rsidRDefault="005F2C66" w:rsidP="005F2C66">
      <w:r w:rsidRPr="005F2C66">
        <w:rPr>
          <w:b/>
        </w:rPr>
        <w:t>Guest Lecturer</w:t>
      </w:r>
      <w:r w:rsidRPr="005F2C66">
        <w:t xml:space="preserve"> on the role and duties of an expert witness in arbitration and litigation, fiduciary standards of care, fiduciary responsibilities, selling away, and damages calculations at Albany Law School (January 2005 and February 2009).  </w:t>
      </w:r>
      <w:r w:rsidRPr="005F2C66">
        <w:rPr>
          <w:i/>
        </w:rPr>
        <w:t xml:space="preserve">Pro bono </w:t>
      </w:r>
      <w:r w:rsidRPr="005F2C66">
        <w:t xml:space="preserve">liaison to Albany Law School </w:t>
      </w:r>
      <w:r w:rsidR="00BE221A">
        <w:t>on behalf of</w:t>
      </w:r>
      <w:r w:rsidRPr="005F2C66">
        <w:t xml:space="preserve"> the Securities Experts’ Roundtable</w:t>
      </w:r>
      <w:r w:rsidR="00BE221A">
        <w:t xml:space="preserve"> (200</w:t>
      </w:r>
      <w:r w:rsidR="000C53BA">
        <w:t>5-2009)</w:t>
      </w:r>
      <w:r w:rsidRPr="005F2C66">
        <w:t>.</w:t>
      </w:r>
    </w:p>
    <w:p w14:paraId="2E58A3C6" w14:textId="77777777" w:rsidR="005F2C66" w:rsidRPr="005F2C66" w:rsidRDefault="005F2C66" w:rsidP="005F2C66"/>
    <w:p w14:paraId="198FBB1F" w14:textId="77777777" w:rsidR="005F2C66" w:rsidRPr="005F2C66" w:rsidRDefault="005F2C66" w:rsidP="005F2C66">
      <w:r w:rsidRPr="005F2C66">
        <w:rPr>
          <w:b/>
        </w:rPr>
        <w:t>Lecturer</w:t>
      </w:r>
      <w:r w:rsidRPr="005F2C66">
        <w:t xml:space="preserve"> on investment topics to financial professionals.</w:t>
      </w:r>
    </w:p>
    <w:p w14:paraId="3A0A6616" w14:textId="77777777" w:rsidR="005F2C66" w:rsidRPr="005F2C66" w:rsidRDefault="005F2C66" w:rsidP="005F2C66"/>
    <w:p w14:paraId="3BFB1AF5" w14:textId="77777777" w:rsidR="005F2C66" w:rsidRPr="005F2C66" w:rsidRDefault="005F2C66" w:rsidP="005F2C66">
      <w:r w:rsidRPr="005F2C66">
        <w:rPr>
          <w:b/>
        </w:rPr>
        <w:t>Author</w:t>
      </w:r>
      <w:r w:rsidRPr="005F2C66">
        <w:t xml:space="preserve">, </w:t>
      </w:r>
      <w:r w:rsidRPr="005F2C66">
        <w:rPr>
          <w:u w:val="single"/>
        </w:rPr>
        <w:t>Everybody’s Guide to Tax Shelters</w:t>
      </w:r>
      <w:r w:rsidRPr="005F2C66">
        <w:t>, as well as training manuals, articles, and newsletters on all types of investments.</w:t>
      </w:r>
    </w:p>
    <w:p w14:paraId="2B45EEFD" w14:textId="77777777" w:rsidR="005F2C66" w:rsidRPr="005F2C66" w:rsidRDefault="005F2C66" w:rsidP="005F2C66"/>
    <w:p w14:paraId="34EE2C6A" w14:textId="1AF7A5FA" w:rsidR="005F2C66" w:rsidRPr="005F2C66" w:rsidRDefault="005F2C66" w:rsidP="005F2C66">
      <w:r w:rsidRPr="005F2C66">
        <w:rPr>
          <w:b/>
        </w:rPr>
        <w:t>Expert Witness</w:t>
      </w:r>
      <w:r w:rsidRPr="005F2C66">
        <w:t xml:space="preserve">, clients have included the United States Department of the Treasury - Internal Revenue Service </w:t>
      </w:r>
      <w:r w:rsidR="00CD2350">
        <w:t xml:space="preserve">regarding private placements </w:t>
      </w:r>
      <w:r w:rsidRPr="005F2C66">
        <w:t>and the State of New Jersey</w:t>
      </w:r>
      <w:r w:rsidR="002F4B68">
        <w:t xml:space="preserve"> regarding private placements. </w:t>
      </w:r>
      <w:r w:rsidRPr="005F2C66">
        <w:t xml:space="preserve"> Damages calculations methodology provided for U.S. Supreme Court case.</w:t>
      </w:r>
    </w:p>
    <w:p w14:paraId="302AA371" w14:textId="77777777" w:rsidR="005F2C66" w:rsidRPr="005F2C66" w:rsidRDefault="005F2C66" w:rsidP="005F2C66"/>
    <w:p w14:paraId="6ECD0415" w14:textId="77777777" w:rsidR="005F2C66" w:rsidRPr="005F2C66" w:rsidRDefault="005F2C66" w:rsidP="005F2C66">
      <w:r w:rsidRPr="005F2C66">
        <w:t xml:space="preserve">Interviewed and quoted in national financial print media, radio, television, and business publications including </w:t>
      </w:r>
      <w:r w:rsidRPr="005F2C66">
        <w:rPr>
          <w:i/>
        </w:rPr>
        <w:t>Forbes</w:t>
      </w:r>
      <w:r w:rsidRPr="005F2C66">
        <w:t xml:space="preserve">, </w:t>
      </w:r>
      <w:r w:rsidRPr="005F2C66">
        <w:rPr>
          <w:i/>
        </w:rPr>
        <w:t>Money</w:t>
      </w:r>
      <w:r w:rsidRPr="005F2C66">
        <w:t xml:space="preserve">, </w:t>
      </w:r>
      <w:r w:rsidRPr="005F2C66">
        <w:rPr>
          <w:i/>
        </w:rPr>
        <w:t>Financial Planning</w:t>
      </w:r>
      <w:r w:rsidRPr="005F2C66">
        <w:t xml:space="preserve">, and </w:t>
      </w:r>
      <w:r w:rsidRPr="005F2C66">
        <w:rPr>
          <w:i/>
        </w:rPr>
        <w:t>Fortune</w:t>
      </w:r>
      <w:r w:rsidRPr="005F2C66">
        <w:t xml:space="preserve"> and major newspapers including </w:t>
      </w:r>
      <w:r w:rsidRPr="005F2C66">
        <w:rPr>
          <w:i/>
        </w:rPr>
        <w:t>The Wall Street Journal</w:t>
      </w:r>
      <w:r w:rsidRPr="005F2C66">
        <w:t xml:space="preserve">, </w:t>
      </w:r>
      <w:r w:rsidRPr="005F2C66">
        <w:rPr>
          <w:i/>
        </w:rPr>
        <w:t>Barron’s</w:t>
      </w:r>
      <w:r w:rsidRPr="005F2C66">
        <w:t xml:space="preserve">, and </w:t>
      </w:r>
      <w:r w:rsidRPr="005F2C66">
        <w:rPr>
          <w:i/>
        </w:rPr>
        <w:t>The New York Times.</w:t>
      </w:r>
    </w:p>
    <w:p w14:paraId="4A229842" w14:textId="77777777" w:rsidR="005F2C66" w:rsidRPr="005F2C66" w:rsidRDefault="005F2C66" w:rsidP="005F2C66"/>
    <w:p w14:paraId="2C37F4EB" w14:textId="77777777" w:rsidR="005F2C66" w:rsidRPr="005F2C66" w:rsidRDefault="005F2C66" w:rsidP="005F2C66">
      <w:r w:rsidRPr="005F2C66">
        <w:rPr>
          <w:b/>
        </w:rPr>
        <w:t>Participant</w:t>
      </w:r>
      <w:r w:rsidRPr="005F2C66">
        <w:t xml:space="preserve"> in the Open Compliance &amp; Ethics Group (a not-for-profit) benchmarking study of governance, risk management, compliance, and ethics programs (1 Q 2005).</w:t>
      </w:r>
    </w:p>
    <w:p w14:paraId="79BBA625" w14:textId="77777777" w:rsidR="005F2C66" w:rsidRPr="005F2C66" w:rsidRDefault="005F2C66" w:rsidP="005F2C66"/>
    <w:p w14:paraId="75D7D47F" w14:textId="77777777" w:rsidR="00E17109" w:rsidRDefault="00E17109" w:rsidP="005F2C66">
      <w:pPr>
        <w:rPr>
          <w:b/>
        </w:rPr>
      </w:pPr>
    </w:p>
    <w:p w14:paraId="407BDC36" w14:textId="77777777" w:rsidR="00E17109" w:rsidRDefault="00E17109" w:rsidP="005F2C66">
      <w:pPr>
        <w:rPr>
          <w:b/>
        </w:rPr>
      </w:pPr>
    </w:p>
    <w:p w14:paraId="2EE1E449" w14:textId="74000990" w:rsidR="005F2C66" w:rsidRPr="005F2C66" w:rsidRDefault="005F2C66" w:rsidP="005F2C66">
      <w:pPr>
        <w:rPr>
          <w:b/>
        </w:rPr>
      </w:pPr>
      <w:r w:rsidRPr="005F2C66">
        <w:rPr>
          <w:b/>
        </w:rPr>
        <w:lastRenderedPageBreak/>
        <w:t>EMPLOYMENT HISTORY.</w:t>
      </w:r>
    </w:p>
    <w:p w14:paraId="2AFF8E53" w14:textId="77777777" w:rsidR="005F2C66" w:rsidRPr="005F2C66" w:rsidRDefault="005F2C66" w:rsidP="005F2C66"/>
    <w:p w14:paraId="2903DCC5" w14:textId="77777777" w:rsidR="005F2C66" w:rsidRPr="005F2C66" w:rsidRDefault="005F2C66" w:rsidP="005F2C66">
      <w:pPr>
        <w:rPr>
          <w:b/>
        </w:rPr>
      </w:pPr>
      <w:r w:rsidRPr="005F2C66">
        <w:rPr>
          <w:b/>
        </w:rPr>
        <w:t>1981–Present — President and Founder.</w:t>
      </w:r>
    </w:p>
    <w:p w14:paraId="14394A82" w14:textId="77777777" w:rsidR="005F2C66" w:rsidRPr="005F2C66" w:rsidRDefault="005F2C66" w:rsidP="005F2C66">
      <w:r w:rsidRPr="005F2C66">
        <w:t>Securities Investigations, Inc., Woodstock, New York,</w:t>
      </w:r>
    </w:p>
    <w:p w14:paraId="74EC2801" w14:textId="77777777" w:rsidR="005F2C66" w:rsidRPr="005F2C66" w:rsidRDefault="005F2C66" w:rsidP="005F2C66">
      <w:r w:rsidRPr="005F2C66">
        <w:t>Due Diligence, Investment Research, Valuation, Expert Witness, and Consulting Firm.</w:t>
      </w:r>
    </w:p>
    <w:p w14:paraId="22C792D8" w14:textId="77777777" w:rsidR="00E0730D" w:rsidRDefault="00E0730D" w:rsidP="005F2C66">
      <w:pPr>
        <w:rPr>
          <w:b/>
        </w:rPr>
      </w:pPr>
    </w:p>
    <w:p w14:paraId="41EA7E0C" w14:textId="77777777" w:rsidR="005F2C66" w:rsidRPr="005F2C66" w:rsidRDefault="005F2C66" w:rsidP="005F2C66">
      <w:pPr>
        <w:rPr>
          <w:b/>
        </w:rPr>
      </w:pPr>
      <w:r w:rsidRPr="005F2C66">
        <w:rPr>
          <w:b/>
        </w:rPr>
        <w:t>2009 –</w:t>
      </w:r>
      <w:r w:rsidR="00BC360F">
        <w:rPr>
          <w:b/>
        </w:rPr>
        <w:t xml:space="preserve"> 2015</w:t>
      </w:r>
      <w:r w:rsidRPr="005F2C66">
        <w:rPr>
          <w:b/>
        </w:rPr>
        <w:t xml:space="preserve"> —</w:t>
      </w:r>
      <w:r w:rsidR="00524887">
        <w:rPr>
          <w:b/>
        </w:rPr>
        <w:t xml:space="preserve"> </w:t>
      </w:r>
      <w:r w:rsidRPr="005F2C66">
        <w:rPr>
          <w:b/>
        </w:rPr>
        <w:t>Lead Analyst.</w:t>
      </w:r>
    </w:p>
    <w:p w14:paraId="5BF26B4C" w14:textId="77777777" w:rsidR="005F2C66" w:rsidRPr="005F2C66" w:rsidRDefault="005F2C66" w:rsidP="005F2C66">
      <w:r w:rsidRPr="005F2C66">
        <w:t>Cent</w:t>
      </w:r>
      <w:r w:rsidR="00E0730D">
        <w:t>re</w:t>
      </w:r>
      <w:r w:rsidRPr="005F2C66">
        <w:t xml:space="preserve"> for Fiduciary Excellence (CEFEX),</w:t>
      </w:r>
    </w:p>
    <w:p w14:paraId="7E0B33BF" w14:textId="77777777" w:rsidR="005F2C66" w:rsidRPr="005F2C66" w:rsidRDefault="005F2C66" w:rsidP="005F2C66">
      <w:pPr>
        <w:rPr>
          <w:color w:val="000000"/>
        </w:rPr>
      </w:pPr>
      <w:r w:rsidRPr="005F2C66">
        <w:rPr>
          <w:bCs/>
          <w:color w:val="000000"/>
        </w:rPr>
        <w:t>I</w:t>
      </w:r>
      <w:r w:rsidRPr="005F2C66">
        <w:rPr>
          <w:color w:val="000000"/>
        </w:rPr>
        <w:t>ndependent Global Assessment and Certification Organization.</w:t>
      </w:r>
    </w:p>
    <w:p w14:paraId="0ECD313B" w14:textId="77777777" w:rsidR="005F2C66" w:rsidRPr="005F2C66" w:rsidRDefault="005F2C66" w:rsidP="005F2C66">
      <w:pPr>
        <w:rPr>
          <w:color w:val="000000"/>
        </w:rPr>
      </w:pPr>
    </w:p>
    <w:p w14:paraId="70E66E3C" w14:textId="77777777" w:rsidR="005F2C66" w:rsidRPr="005F2C66" w:rsidRDefault="005F2C66" w:rsidP="005F2C66">
      <w:pPr>
        <w:rPr>
          <w:b/>
        </w:rPr>
      </w:pPr>
      <w:r w:rsidRPr="005F2C66">
        <w:rPr>
          <w:b/>
        </w:rPr>
        <w:t>2011–</w:t>
      </w:r>
      <w:r w:rsidR="00FD2749">
        <w:rPr>
          <w:b/>
        </w:rPr>
        <w:t>2014</w:t>
      </w:r>
      <w:r w:rsidRPr="005F2C66">
        <w:rPr>
          <w:b/>
        </w:rPr>
        <w:t xml:space="preserve"> —</w:t>
      </w:r>
      <w:r w:rsidR="00524887">
        <w:rPr>
          <w:b/>
        </w:rPr>
        <w:t xml:space="preserve"> </w:t>
      </w:r>
      <w:r w:rsidRPr="005F2C66">
        <w:rPr>
          <w:b/>
        </w:rPr>
        <w:t>Affiliate.</w:t>
      </w:r>
    </w:p>
    <w:p w14:paraId="531FF0C7" w14:textId="77777777" w:rsidR="005F2C66" w:rsidRPr="005F2C66" w:rsidRDefault="005F2C66" w:rsidP="005F2C66">
      <w:r w:rsidRPr="005F2C66">
        <w:t>The Bates Group, LLC,</w:t>
      </w:r>
    </w:p>
    <w:p w14:paraId="0B64DB3D" w14:textId="77777777" w:rsidR="005F2C66" w:rsidRPr="005F2C66" w:rsidRDefault="005F2C66" w:rsidP="005F2C66">
      <w:r w:rsidRPr="005F2C66">
        <w:t>Expert Witness and Consulting Firm (Private),</w:t>
      </w:r>
    </w:p>
    <w:p w14:paraId="373B5794" w14:textId="77777777" w:rsidR="005F2C66" w:rsidRPr="005F2C66" w:rsidRDefault="005F2C66" w:rsidP="005F2C66">
      <w:r w:rsidRPr="005F2C66">
        <w:t>2010–2011 —Affiliate,</w:t>
      </w:r>
    </w:p>
    <w:p w14:paraId="7A9B86E1" w14:textId="77777777" w:rsidR="005F2C66" w:rsidRPr="005F2C66" w:rsidRDefault="005F2C66" w:rsidP="005F2C66">
      <w:r w:rsidRPr="005F2C66">
        <w:t>LECG (Precursor Organization to The Bates Group, LLC),</w:t>
      </w:r>
    </w:p>
    <w:p w14:paraId="3B9255D5" w14:textId="77777777" w:rsidR="005F2C66" w:rsidRPr="005F2C66" w:rsidRDefault="005F2C66" w:rsidP="005F2C66">
      <w:r w:rsidRPr="005F2C66">
        <w:t>Expert Witness and Consulting Firm (Publicly-Traded NASDAQ Firm).</w:t>
      </w:r>
    </w:p>
    <w:p w14:paraId="77F39C06" w14:textId="77777777" w:rsidR="005F2C66" w:rsidRPr="005F2C66" w:rsidRDefault="005F2C66" w:rsidP="005F2C66"/>
    <w:p w14:paraId="57B5959A" w14:textId="77777777" w:rsidR="005F2C66" w:rsidRPr="005F2C66" w:rsidRDefault="005F2C66" w:rsidP="005F2C66">
      <w:pPr>
        <w:rPr>
          <w:b/>
        </w:rPr>
      </w:pPr>
      <w:r w:rsidRPr="005F2C66">
        <w:rPr>
          <w:b/>
        </w:rPr>
        <w:t>1980–1981 — President and CEO.</w:t>
      </w:r>
    </w:p>
    <w:p w14:paraId="6C3925DC" w14:textId="77777777" w:rsidR="005F2C66" w:rsidRPr="005F2C66" w:rsidRDefault="005F2C66" w:rsidP="005F2C66">
      <w:r w:rsidRPr="005F2C66">
        <w:t>Resource Control Management Corporation,</w:t>
      </w:r>
    </w:p>
    <w:p w14:paraId="676E5EDB" w14:textId="77777777" w:rsidR="005F2C66" w:rsidRPr="005F2C66" w:rsidRDefault="005F2C66" w:rsidP="005F2C66">
      <w:pPr>
        <w:rPr>
          <w:b/>
        </w:rPr>
      </w:pPr>
      <w:r w:rsidRPr="005F2C66">
        <w:t>Resource Extra</w:t>
      </w:r>
      <w:r w:rsidR="00085659">
        <w:t>ction/Recycling Company (Public</w:t>
      </w:r>
      <w:r w:rsidRPr="005F2C66">
        <w:t>ly Traded Over-the-Counter Company).</w:t>
      </w:r>
    </w:p>
    <w:p w14:paraId="1039F42B" w14:textId="77777777" w:rsidR="005F2C66" w:rsidRPr="005F2C66" w:rsidRDefault="005F2C66" w:rsidP="005F2C66">
      <w:pPr>
        <w:rPr>
          <w:b/>
        </w:rPr>
      </w:pPr>
    </w:p>
    <w:p w14:paraId="1A58CBB9" w14:textId="77777777" w:rsidR="005F2C66" w:rsidRPr="005F2C66" w:rsidRDefault="005F2C66" w:rsidP="005F2C66">
      <w:pPr>
        <w:rPr>
          <w:b/>
        </w:rPr>
      </w:pPr>
      <w:r w:rsidRPr="005F2C66">
        <w:rPr>
          <w:b/>
        </w:rPr>
        <w:t>1979–1981 — Consultant.</w:t>
      </w:r>
    </w:p>
    <w:p w14:paraId="5B8C313A" w14:textId="77777777" w:rsidR="005F2C66" w:rsidRPr="005F2C66" w:rsidRDefault="005F2C66" w:rsidP="005F2C66">
      <w:r w:rsidRPr="005F2C66">
        <w:t>New York, New York,</w:t>
      </w:r>
    </w:p>
    <w:p w14:paraId="2C4960AD" w14:textId="482180F3" w:rsidR="005F2C66" w:rsidRPr="005F2C66" w:rsidRDefault="005F2C66" w:rsidP="005F2C66">
      <w:r w:rsidRPr="005F2C66">
        <w:t>Due Diligence, Investment Research, Valuation, Expert Witness, and Consulting</w:t>
      </w:r>
      <w:r w:rsidR="00243F4D">
        <w:t>.</w:t>
      </w:r>
    </w:p>
    <w:p w14:paraId="160EA830" w14:textId="77777777" w:rsidR="005F2C66" w:rsidRPr="005F2C66" w:rsidRDefault="005F2C66" w:rsidP="005F2C66"/>
    <w:p w14:paraId="4B56FD06" w14:textId="77777777" w:rsidR="005F2C66" w:rsidRPr="005F2C66" w:rsidRDefault="005F2C66" w:rsidP="005F2C66">
      <w:pPr>
        <w:rPr>
          <w:b/>
        </w:rPr>
      </w:pPr>
      <w:r w:rsidRPr="005F2C66">
        <w:rPr>
          <w:b/>
        </w:rPr>
        <w:t>1978–1979 — Manager and Founder, Tax Investment Department, Investment Banking Department.</w:t>
      </w:r>
    </w:p>
    <w:p w14:paraId="6335A2DF" w14:textId="77777777" w:rsidR="005F2C66" w:rsidRPr="005F2C66" w:rsidRDefault="005F2C66" w:rsidP="005F2C66">
      <w:r w:rsidRPr="005F2C66">
        <w:t>Bruns, Nordeman, Rea &amp; Co., New York, New York,</w:t>
      </w:r>
    </w:p>
    <w:p w14:paraId="1BB64118" w14:textId="77777777" w:rsidR="005F2C66" w:rsidRPr="005F2C66" w:rsidRDefault="005F2C66" w:rsidP="005F2C66">
      <w:r w:rsidRPr="005F2C66">
        <w:t>New York Stock Exchange Member Firm,</w:t>
      </w:r>
    </w:p>
    <w:p w14:paraId="39EC07C4" w14:textId="77777777" w:rsidR="005F2C66" w:rsidRPr="005F2C66" w:rsidRDefault="005F2C66" w:rsidP="005F2C66">
      <w:r w:rsidRPr="005F2C66">
        <w:t>National Association of Securities Dealers, Inc. Firm.</w:t>
      </w:r>
    </w:p>
    <w:p w14:paraId="2EF2C013" w14:textId="77777777" w:rsidR="005F2C66" w:rsidRPr="005F2C66" w:rsidRDefault="005F2C66" w:rsidP="005F2C66">
      <w:pPr>
        <w:rPr>
          <w:b/>
        </w:rPr>
      </w:pPr>
    </w:p>
    <w:p w14:paraId="31BF5286" w14:textId="77777777" w:rsidR="005F2C66" w:rsidRPr="005F2C66" w:rsidRDefault="005F2C66" w:rsidP="005F2C66">
      <w:pPr>
        <w:rPr>
          <w:b/>
        </w:rPr>
      </w:pPr>
      <w:r w:rsidRPr="005F2C66">
        <w:rPr>
          <w:b/>
        </w:rPr>
        <w:t>1977–1978 — Divisional Director, Tax Investment Department, Investment Banking Department.</w:t>
      </w:r>
    </w:p>
    <w:p w14:paraId="13CDAC4F" w14:textId="77777777" w:rsidR="005F2C66" w:rsidRPr="005F2C66" w:rsidRDefault="005F2C66" w:rsidP="005F2C66">
      <w:r w:rsidRPr="005F2C66">
        <w:t>Josephthal &amp; Co., New York, New York,</w:t>
      </w:r>
    </w:p>
    <w:p w14:paraId="54580D11" w14:textId="77777777" w:rsidR="005F2C66" w:rsidRPr="005F2C66" w:rsidRDefault="005F2C66" w:rsidP="005F2C66">
      <w:r w:rsidRPr="005F2C66">
        <w:t>New York Stock Exchange Member Firm,</w:t>
      </w:r>
    </w:p>
    <w:p w14:paraId="50FA321F" w14:textId="77777777" w:rsidR="005F2C66" w:rsidRPr="005F2C66" w:rsidRDefault="005F2C66" w:rsidP="005F2C66">
      <w:r w:rsidRPr="005F2C66">
        <w:t>National Association of Securities Dealers, Inc. Firm.</w:t>
      </w:r>
    </w:p>
    <w:p w14:paraId="2961AD26" w14:textId="77777777" w:rsidR="005F2C66" w:rsidRPr="005F2C66" w:rsidRDefault="005F2C66" w:rsidP="005F2C66">
      <w:pPr>
        <w:rPr>
          <w:b/>
        </w:rPr>
      </w:pPr>
    </w:p>
    <w:p w14:paraId="233C5523" w14:textId="77777777" w:rsidR="005F2C66" w:rsidRPr="005F2C66" w:rsidRDefault="005F2C66" w:rsidP="005F2C66">
      <w:pPr>
        <w:rPr>
          <w:b/>
        </w:rPr>
      </w:pPr>
      <w:r w:rsidRPr="005F2C66">
        <w:rPr>
          <w:b/>
        </w:rPr>
        <w:t>1976–1977 — Tax Investment Specialist.</w:t>
      </w:r>
    </w:p>
    <w:p w14:paraId="5C9ADA62" w14:textId="77777777" w:rsidR="005F2C66" w:rsidRPr="005F2C66" w:rsidRDefault="005F2C66" w:rsidP="005F2C66">
      <w:r w:rsidRPr="005F2C66">
        <w:t>Loeb, Rhoades &amp; Co., New York, New York,</w:t>
      </w:r>
    </w:p>
    <w:p w14:paraId="3BB8C40F" w14:textId="77777777" w:rsidR="005F2C66" w:rsidRPr="005F2C66" w:rsidRDefault="005F2C66" w:rsidP="005F2C66">
      <w:r w:rsidRPr="005F2C66">
        <w:t>New York Stock Exchange Member Firm,</w:t>
      </w:r>
    </w:p>
    <w:p w14:paraId="3A4640DA" w14:textId="77777777" w:rsidR="005F2C66" w:rsidRPr="005F2C66" w:rsidRDefault="005F2C66" w:rsidP="005F2C66">
      <w:r w:rsidRPr="005F2C66">
        <w:t>National Association of Securities Dealers, Inc. Firm.</w:t>
      </w:r>
    </w:p>
    <w:p w14:paraId="3432B706" w14:textId="77777777" w:rsidR="005F2C66" w:rsidRPr="005F2C66" w:rsidRDefault="005F2C66" w:rsidP="005F2C66">
      <w:pPr>
        <w:rPr>
          <w:b/>
        </w:rPr>
      </w:pPr>
    </w:p>
    <w:p w14:paraId="18A43421" w14:textId="77777777" w:rsidR="005F2C66" w:rsidRPr="005F2C66" w:rsidRDefault="005F2C66" w:rsidP="005F2C66">
      <w:pPr>
        <w:rPr>
          <w:b/>
        </w:rPr>
      </w:pPr>
      <w:r w:rsidRPr="005F2C66">
        <w:rPr>
          <w:b/>
        </w:rPr>
        <w:t>1975 — Co-Director, Marketing.</w:t>
      </w:r>
    </w:p>
    <w:p w14:paraId="6E708C62" w14:textId="77777777" w:rsidR="005F2C66" w:rsidRPr="005F2C66" w:rsidRDefault="005F2C66" w:rsidP="005F2C66">
      <w:r w:rsidRPr="005F2C66">
        <w:t>NFC Petroleum, New York, New York,</w:t>
      </w:r>
    </w:p>
    <w:p w14:paraId="6EC686DB" w14:textId="77777777" w:rsidR="005F2C66" w:rsidRPr="005F2C66" w:rsidRDefault="005F2C66" w:rsidP="005F2C66">
      <w:r w:rsidRPr="005F2C66">
        <w:t>Oil Drilling Company,</w:t>
      </w:r>
    </w:p>
    <w:p w14:paraId="5130781E" w14:textId="77777777" w:rsidR="00C21097" w:rsidRDefault="005F2C66" w:rsidP="005F2C66">
      <w:pPr>
        <w:rPr>
          <w:b/>
        </w:rPr>
      </w:pPr>
      <w:r w:rsidRPr="005F2C66">
        <w:t>National Association of Securities Dealers, Inc. Firm.</w:t>
      </w:r>
      <w:r w:rsidR="00C21097">
        <w:rPr>
          <w:b/>
        </w:rPr>
        <w:t xml:space="preserve"> </w:t>
      </w:r>
    </w:p>
    <w:p w14:paraId="14AD8301" w14:textId="77777777" w:rsidR="005F2C66" w:rsidRPr="005F2C66" w:rsidRDefault="00C21097" w:rsidP="005F2C66">
      <w:pPr>
        <w:rPr>
          <w:b/>
        </w:rPr>
      </w:pPr>
      <w:r>
        <w:rPr>
          <w:b/>
        </w:rPr>
        <w:lastRenderedPageBreak/>
        <w:t>1</w:t>
      </w:r>
      <w:r w:rsidR="005F2C66" w:rsidRPr="005F2C66">
        <w:rPr>
          <w:b/>
        </w:rPr>
        <w:t>974 — Co-Manager, Tax Investment Department.</w:t>
      </w:r>
    </w:p>
    <w:p w14:paraId="5F87879E" w14:textId="77777777" w:rsidR="005F2C66" w:rsidRPr="005F2C66" w:rsidRDefault="005F2C66" w:rsidP="005F2C66">
      <w:r w:rsidRPr="005F2C66">
        <w:t>Moseley, Hallgarten &amp; Estabrook, New York, New York,</w:t>
      </w:r>
    </w:p>
    <w:p w14:paraId="6D6A9276" w14:textId="77777777" w:rsidR="005F2C66" w:rsidRPr="005F2C66" w:rsidRDefault="005F2C66" w:rsidP="005F2C66">
      <w:r w:rsidRPr="005F2C66">
        <w:t>New York Stock Exchange Member Firm,</w:t>
      </w:r>
    </w:p>
    <w:p w14:paraId="2C819F72" w14:textId="77777777" w:rsidR="005F2C66" w:rsidRPr="005F2C66" w:rsidRDefault="005F2C66" w:rsidP="005F2C66">
      <w:r w:rsidRPr="005F2C66">
        <w:t>National Association of Securities Dealers, Inc. Firm.</w:t>
      </w:r>
    </w:p>
    <w:p w14:paraId="03CEA585" w14:textId="77777777" w:rsidR="005F2C66" w:rsidRPr="005F2C66" w:rsidRDefault="005F2C66" w:rsidP="005F2C66"/>
    <w:p w14:paraId="29B08F46" w14:textId="77777777" w:rsidR="005F2C66" w:rsidRPr="005F2C66" w:rsidRDefault="005F2C66" w:rsidP="005F2C66">
      <w:pPr>
        <w:rPr>
          <w:b/>
        </w:rPr>
      </w:pPr>
      <w:r w:rsidRPr="005F2C66">
        <w:rPr>
          <w:b/>
        </w:rPr>
        <w:t>1974 — Marketing and Analysis.</w:t>
      </w:r>
    </w:p>
    <w:p w14:paraId="75752D7E" w14:textId="77777777" w:rsidR="005F2C66" w:rsidRPr="005F2C66" w:rsidRDefault="005F2C66" w:rsidP="005F2C66">
      <w:r w:rsidRPr="005F2C66">
        <w:t>J.F. Crowley and Company, Inc., New York, New York,</w:t>
      </w:r>
    </w:p>
    <w:p w14:paraId="2B5F3C67" w14:textId="77777777" w:rsidR="005F2C66" w:rsidRPr="005F2C66" w:rsidRDefault="005F2C66" w:rsidP="005F2C66">
      <w:r w:rsidRPr="005F2C66">
        <w:t>Tax Investment Firm,</w:t>
      </w:r>
    </w:p>
    <w:p w14:paraId="7F9CF82E" w14:textId="77777777" w:rsidR="005F2C66" w:rsidRPr="005F2C66" w:rsidRDefault="005F2C66" w:rsidP="005F2C66">
      <w:r w:rsidRPr="005F2C66">
        <w:t>National Association of Securities Dealers, Inc. Firm.</w:t>
      </w:r>
    </w:p>
    <w:p w14:paraId="43EA08D4" w14:textId="77777777" w:rsidR="005F2C66" w:rsidRPr="005F2C66" w:rsidRDefault="005F2C66" w:rsidP="005F2C66"/>
    <w:p w14:paraId="04617A45" w14:textId="77777777" w:rsidR="005F2C66" w:rsidRPr="005F2C66" w:rsidRDefault="005F2C66" w:rsidP="005F2C66">
      <w:pPr>
        <w:rPr>
          <w:b/>
        </w:rPr>
      </w:pPr>
      <w:r w:rsidRPr="005F2C66">
        <w:rPr>
          <w:b/>
        </w:rPr>
        <w:t>1973 — Financial Lecturer.</w:t>
      </w:r>
    </w:p>
    <w:p w14:paraId="2A9C66F5" w14:textId="77777777" w:rsidR="005F2C66" w:rsidRPr="005F2C66" w:rsidRDefault="005F2C66" w:rsidP="005F2C66">
      <w:pPr>
        <w:rPr>
          <w:b/>
        </w:rPr>
      </w:pPr>
      <w:r w:rsidRPr="005F2C66">
        <w:t>S.S. Queen Elizabeth II - Cruise Ship.</w:t>
      </w:r>
    </w:p>
    <w:p w14:paraId="4D26A031" w14:textId="77777777" w:rsidR="005F2C66" w:rsidRPr="005F2C66" w:rsidRDefault="005F2C66" w:rsidP="005F2C66">
      <w:pPr>
        <w:rPr>
          <w:b/>
        </w:rPr>
      </w:pPr>
    </w:p>
    <w:p w14:paraId="5DDC53D0" w14:textId="77777777" w:rsidR="005F2C66" w:rsidRPr="005F2C66" w:rsidRDefault="005F2C66" w:rsidP="005F2C66">
      <w:pPr>
        <w:rPr>
          <w:b/>
        </w:rPr>
      </w:pPr>
      <w:r w:rsidRPr="005F2C66">
        <w:rPr>
          <w:b/>
        </w:rPr>
        <w:t>1973 — Senior Associate, Marketing.</w:t>
      </w:r>
    </w:p>
    <w:p w14:paraId="68882E7F" w14:textId="77777777" w:rsidR="005F2C66" w:rsidRPr="005F2C66" w:rsidRDefault="005F2C66" w:rsidP="005F2C66">
      <w:r w:rsidRPr="005F2C66">
        <w:t>ENI Corporation, New York, New York,</w:t>
      </w:r>
    </w:p>
    <w:p w14:paraId="4B6CB978" w14:textId="77777777" w:rsidR="005F2C66" w:rsidRPr="005F2C66" w:rsidRDefault="005F2C66" w:rsidP="005F2C66">
      <w:r w:rsidRPr="005F2C66">
        <w:t>Oil and Gas Research and Marketing Firm,</w:t>
      </w:r>
    </w:p>
    <w:p w14:paraId="251409AF" w14:textId="77777777" w:rsidR="005F2C66" w:rsidRPr="005F2C66" w:rsidRDefault="005F2C66" w:rsidP="005F2C66">
      <w:pPr>
        <w:rPr>
          <w:b/>
        </w:rPr>
      </w:pPr>
      <w:r w:rsidRPr="005F2C66">
        <w:t>National Association of Securities Dealers, Inc. Firm.</w:t>
      </w:r>
    </w:p>
    <w:p w14:paraId="0CC4574B" w14:textId="77777777" w:rsidR="005F2C66" w:rsidRPr="005F2C66" w:rsidRDefault="005F2C66" w:rsidP="005F2C66">
      <w:pPr>
        <w:rPr>
          <w:b/>
        </w:rPr>
      </w:pPr>
    </w:p>
    <w:p w14:paraId="63558E1E" w14:textId="77777777" w:rsidR="005F2C66" w:rsidRPr="005F2C66" w:rsidRDefault="005F2C66" w:rsidP="005F2C66">
      <w:pPr>
        <w:rPr>
          <w:b/>
        </w:rPr>
      </w:pPr>
      <w:r w:rsidRPr="005F2C66">
        <w:rPr>
          <w:b/>
        </w:rPr>
        <w:t>1972–1973 — Tax Investment Specialist.</w:t>
      </w:r>
    </w:p>
    <w:p w14:paraId="643A05BD" w14:textId="77777777" w:rsidR="005F2C66" w:rsidRPr="005F2C66" w:rsidRDefault="005F2C66" w:rsidP="005F2C66">
      <w:r w:rsidRPr="005F2C66">
        <w:t>Fidelity Mutual Life, New York, New York,</w:t>
      </w:r>
    </w:p>
    <w:p w14:paraId="20FB12A2" w14:textId="77777777" w:rsidR="005F2C66" w:rsidRPr="005F2C66" w:rsidRDefault="005F2C66" w:rsidP="005F2C66">
      <w:r w:rsidRPr="005F2C66">
        <w:t>Estate Planning and Insurance Company,</w:t>
      </w:r>
    </w:p>
    <w:p w14:paraId="5B0684B3" w14:textId="77777777" w:rsidR="005F2C66" w:rsidRPr="005F2C66" w:rsidRDefault="005F2C66" w:rsidP="005F2C66">
      <w:r w:rsidRPr="005F2C66">
        <w:t>National Association of Securities Dealers, Inc. Firm.</w:t>
      </w:r>
    </w:p>
    <w:p w14:paraId="241DBB8B" w14:textId="77777777" w:rsidR="005F2C66" w:rsidRPr="005F2C66" w:rsidRDefault="005F2C66" w:rsidP="005F2C66">
      <w:pPr>
        <w:rPr>
          <w:b/>
        </w:rPr>
      </w:pPr>
    </w:p>
    <w:p w14:paraId="23B08848" w14:textId="25A6D613" w:rsidR="005F2C66" w:rsidRPr="005F2C66" w:rsidRDefault="005F2C66" w:rsidP="005F2C66">
      <w:pPr>
        <w:rPr>
          <w:b/>
        </w:rPr>
      </w:pPr>
      <w:r w:rsidRPr="005F2C66">
        <w:rPr>
          <w:b/>
        </w:rPr>
        <w:t>EDUCATION</w:t>
      </w:r>
      <w:r w:rsidR="00D76EC3">
        <w:rPr>
          <w:b/>
        </w:rPr>
        <w:t xml:space="preserve"> AND PROFESSIONAL DESIGNATIONS</w:t>
      </w:r>
      <w:r w:rsidR="001A7F15">
        <w:rPr>
          <w:b/>
        </w:rPr>
        <w:t>.</w:t>
      </w:r>
    </w:p>
    <w:p w14:paraId="46690241" w14:textId="77777777" w:rsidR="005F2C66" w:rsidRPr="005F2C66" w:rsidRDefault="005F2C66" w:rsidP="005F2C66"/>
    <w:p w14:paraId="4588581F" w14:textId="77777777" w:rsidR="005F2C66" w:rsidRPr="005F2C66" w:rsidRDefault="005F2C66" w:rsidP="005F2C66">
      <w:pPr>
        <w:rPr>
          <w:b/>
        </w:rPr>
      </w:pPr>
      <w:r w:rsidRPr="005F2C66">
        <w:rPr>
          <w:b/>
        </w:rPr>
        <w:t>Certified Fraud Examiner — 2005 (Professional Designation).</w:t>
      </w:r>
    </w:p>
    <w:p w14:paraId="1AA9754E" w14:textId="77777777" w:rsidR="005F2C66" w:rsidRPr="005F2C66" w:rsidRDefault="005F2C66" w:rsidP="005F2C66">
      <w:pPr>
        <w:rPr>
          <w:b/>
        </w:rPr>
      </w:pPr>
      <w:r w:rsidRPr="005F2C66">
        <w:t>Association of Certified Fraud Examiners</w:t>
      </w:r>
      <w:r w:rsidR="00524887">
        <w:t>.</w:t>
      </w:r>
      <w:r w:rsidRPr="005F2C66">
        <w:t xml:space="preserve"> </w:t>
      </w:r>
    </w:p>
    <w:p w14:paraId="7205F538" w14:textId="77777777" w:rsidR="005F2C66" w:rsidRPr="005F2C66" w:rsidRDefault="005F2C66" w:rsidP="005F2C66">
      <w:pPr>
        <w:rPr>
          <w:b/>
        </w:rPr>
      </w:pPr>
    </w:p>
    <w:p w14:paraId="699D54E9" w14:textId="77777777" w:rsidR="005F2C66" w:rsidRPr="005F2C66" w:rsidRDefault="005F2C66" w:rsidP="005F2C66">
      <w:r w:rsidRPr="005F2C66">
        <w:rPr>
          <w:b/>
        </w:rPr>
        <w:t>Accredited Investment Fiduciary Analyst™ — 2004 (Professional Designation).</w:t>
      </w:r>
    </w:p>
    <w:p w14:paraId="53CF5A51" w14:textId="77777777" w:rsidR="005F2C66" w:rsidRPr="005F2C66" w:rsidRDefault="005F2C66" w:rsidP="005F2C66">
      <w:pPr>
        <w:rPr>
          <w:b/>
        </w:rPr>
      </w:pPr>
      <w:r w:rsidRPr="005F2C66">
        <w:t>Center for Fiduciary Studies,</w:t>
      </w:r>
    </w:p>
    <w:p w14:paraId="54C8AFF0" w14:textId="77777777" w:rsidR="005F2C66" w:rsidRPr="005F2C66" w:rsidRDefault="005F2C66" w:rsidP="005F2C66">
      <w:r w:rsidRPr="005F2C66">
        <w:t>Katz Graduate School of Business, University of Pittsburgh, Pennsylvania.</w:t>
      </w:r>
    </w:p>
    <w:p w14:paraId="32127436" w14:textId="77777777" w:rsidR="005F2C66" w:rsidRPr="005F2C66" w:rsidRDefault="005F2C66" w:rsidP="005F2C66"/>
    <w:p w14:paraId="09011649" w14:textId="77777777" w:rsidR="005F2C66" w:rsidRPr="005F2C66" w:rsidRDefault="005F2C66" w:rsidP="005F2C66">
      <w:r w:rsidRPr="005F2C66">
        <w:rPr>
          <w:b/>
        </w:rPr>
        <w:t>Master of Business Administration Program — 1974 (Attended).</w:t>
      </w:r>
    </w:p>
    <w:p w14:paraId="09C099C2" w14:textId="77777777" w:rsidR="005F2C66" w:rsidRPr="005F2C66" w:rsidRDefault="005F2C66" w:rsidP="005F2C66">
      <w:r w:rsidRPr="005F2C66">
        <w:t>City University of New York, New York.</w:t>
      </w:r>
    </w:p>
    <w:p w14:paraId="3CD75389" w14:textId="77777777" w:rsidR="005F2C66" w:rsidRPr="005F2C66" w:rsidRDefault="005F2C66" w:rsidP="005F2C66"/>
    <w:p w14:paraId="2BAC811E" w14:textId="77777777" w:rsidR="005F2C66" w:rsidRPr="005F2C66" w:rsidRDefault="005F2C66" w:rsidP="005F2C66">
      <w:pPr>
        <w:rPr>
          <w:b/>
        </w:rPr>
      </w:pPr>
      <w:r w:rsidRPr="005F2C66">
        <w:rPr>
          <w:b/>
        </w:rPr>
        <w:t>Master</w:t>
      </w:r>
      <w:r w:rsidR="00E0730D">
        <w:rPr>
          <w:b/>
        </w:rPr>
        <w:t>’</w:t>
      </w:r>
      <w:r w:rsidRPr="005F2C66">
        <w:rPr>
          <w:b/>
        </w:rPr>
        <w:t>s Program — 1972 (Attended).</w:t>
      </w:r>
    </w:p>
    <w:p w14:paraId="13E22748" w14:textId="77777777" w:rsidR="005F2C66" w:rsidRPr="005F2C66" w:rsidRDefault="005F2C66" w:rsidP="005F2C66">
      <w:r w:rsidRPr="005F2C66">
        <w:t>Sorbonne University, Paris, France.</w:t>
      </w:r>
    </w:p>
    <w:p w14:paraId="66099E4A" w14:textId="77777777" w:rsidR="005F2C66" w:rsidRPr="005F2C66" w:rsidRDefault="005F2C66" w:rsidP="005F2C66">
      <w:pPr>
        <w:rPr>
          <w:b/>
        </w:rPr>
      </w:pPr>
    </w:p>
    <w:p w14:paraId="1A0A725F" w14:textId="77777777" w:rsidR="005F2C66" w:rsidRPr="005F2C66" w:rsidRDefault="005F2C66" w:rsidP="005F2C66">
      <w:r w:rsidRPr="005F2C66">
        <w:rPr>
          <w:b/>
        </w:rPr>
        <w:t>Bachelor of Arts — 1968 (Degree).</w:t>
      </w:r>
    </w:p>
    <w:p w14:paraId="1DD27929" w14:textId="77777777" w:rsidR="005F2C66" w:rsidRPr="005F2C66" w:rsidRDefault="005F2C66" w:rsidP="005F2C66">
      <w:r w:rsidRPr="005F2C66">
        <w:t>Wesleyan University, Middletown, Connecticut.</w:t>
      </w:r>
    </w:p>
    <w:p w14:paraId="2E7EDAC9" w14:textId="77777777" w:rsidR="005F2C66" w:rsidRPr="005F2C66" w:rsidRDefault="005F2C66" w:rsidP="005F2C66">
      <w:pPr>
        <w:rPr>
          <w:b/>
        </w:rPr>
      </w:pPr>
    </w:p>
    <w:p w14:paraId="460E8D73" w14:textId="216E3592" w:rsidR="00E17109" w:rsidRDefault="00E17109" w:rsidP="005F2C66">
      <w:pPr>
        <w:rPr>
          <w:b/>
        </w:rPr>
      </w:pPr>
    </w:p>
    <w:p w14:paraId="1C09ED6B" w14:textId="77777777" w:rsidR="006F24BB" w:rsidRDefault="006F24BB" w:rsidP="005F2C66">
      <w:pPr>
        <w:rPr>
          <w:b/>
        </w:rPr>
      </w:pPr>
    </w:p>
    <w:p w14:paraId="5E5F98F3" w14:textId="77777777" w:rsidR="00E17109" w:rsidRDefault="00E17109" w:rsidP="005F2C66">
      <w:pPr>
        <w:rPr>
          <w:b/>
        </w:rPr>
      </w:pPr>
    </w:p>
    <w:p w14:paraId="618BCE9A" w14:textId="77777777" w:rsidR="00E17109" w:rsidRDefault="00E17109" w:rsidP="005F2C66">
      <w:pPr>
        <w:rPr>
          <w:b/>
        </w:rPr>
      </w:pPr>
    </w:p>
    <w:p w14:paraId="4E79EE16" w14:textId="77777777" w:rsidR="00E17109" w:rsidRDefault="00E17109" w:rsidP="005F2C66">
      <w:pPr>
        <w:rPr>
          <w:b/>
        </w:rPr>
      </w:pPr>
    </w:p>
    <w:p w14:paraId="539C1009" w14:textId="4B81D29F" w:rsidR="005F2C66" w:rsidRPr="005F2C66" w:rsidRDefault="005F2C66" w:rsidP="005F2C66">
      <w:pPr>
        <w:rPr>
          <w:b/>
        </w:rPr>
      </w:pPr>
      <w:r w:rsidRPr="005F2C66">
        <w:rPr>
          <w:b/>
        </w:rPr>
        <w:lastRenderedPageBreak/>
        <w:t>PUBLICATIONS.</w:t>
      </w:r>
    </w:p>
    <w:p w14:paraId="251FF9E5" w14:textId="77777777" w:rsidR="005F2C66" w:rsidRPr="005F2C66" w:rsidRDefault="005F2C66" w:rsidP="005F2C66">
      <w:pPr>
        <w:rPr>
          <w:b/>
        </w:rPr>
      </w:pPr>
    </w:p>
    <w:p w14:paraId="56C28AC0" w14:textId="77777777" w:rsidR="005F2C66" w:rsidRPr="005F2C66" w:rsidRDefault="005F2C66" w:rsidP="005F2C66">
      <w:r w:rsidRPr="005F2C66">
        <w:rPr>
          <w:b/>
        </w:rPr>
        <w:t>Contributor (External Reviewer and Commentator)</w:t>
      </w:r>
      <w:r w:rsidRPr="005F2C66">
        <w:t xml:space="preserve">, </w:t>
      </w:r>
      <w:r w:rsidRPr="005F2C66">
        <w:rPr>
          <w:u w:val="single"/>
        </w:rPr>
        <w:t>Prudent Practices for Investment Advisors</w:t>
      </w:r>
      <w:r w:rsidRPr="005F2C66">
        <w:t xml:space="preserve">, </w:t>
      </w:r>
      <w:r w:rsidRPr="005F2C66">
        <w:rPr>
          <w:i/>
        </w:rPr>
        <w:t>Defining a Global Fiduciary Standard of Excellence</w:t>
      </w:r>
      <w:r w:rsidRPr="005F2C66">
        <w:t>, Written by fi360, Technical Review by the American Institute of Certified Public Accountants, 2006-2013.</w:t>
      </w:r>
    </w:p>
    <w:p w14:paraId="0051C950" w14:textId="77777777" w:rsidR="005F2C66" w:rsidRPr="005F2C66" w:rsidRDefault="005F2C66" w:rsidP="005F2C66"/>
    <w:p w14:paraId="5CA4A235" w14:textId="77777777" w:rsidR="005F2C66" w:rsidRPr="005F2C66" w:rsidRDefault="005F2C66" w:rsidP="005F2C66">
      <w:r w:rsidRPr="005F2C66">
        <w:rPr>
          <w:b/>
        </w:rPr>
        <w:t>Contributor (External Reviewer and Commentator)</w:t>
      </w:r>
      <w:r w:rsidRPr="005F2C66">
        <w:t xml:space="preserve">, </w:t>
      </w:r>
      <w:r w:rsidRPr="005F2C66">
        <w:rPr>
          <w:u w:val="single"/>
        </w:rPr>
        <w:t>Prudent Practices for Investment Stewards</w:t>
      </w:r>
      <w:r w:rsidRPr="005F2C66">
        <w:t xml:space="preserve">, </w:t>
      </w:r>
      <w:r w:rsidRPr="005F2C66">
        <w:rPr>
          <w:i/>
        </w:rPr>
        <w:t xml:space="preserve">Defining a Global Fiduciary Standard of Excellence, </w:t>
      </w:r>
      <w:r w:rsidRPr="005F2C66">
        <w:t>Written by fi360, Technical Review by the American Institute of Certified Public Accountants, 2006-2013.</w:t>
      </w:r>
    </w:p>
    <w:p w14:paraId="32EFA22C" w14:textId="77777777" w:rsidR="005F2C66" w:rsidRPr="005F2C66" w:rsidRDefault="005F2C66" w:rsidP="005F2C66"/>
    <w:p w14:paraId="2E2D4ED2" w14:textId="77777777" w:rsidR="005F2C66" w:rsidRPr="005F2C66" w:rsidRDefault="005F2C66" w:rsidP="005F2C66">
      <w:r w:rsidRPr="005F2C66">
        <w:rPr>
          <w:b/>
        </w:rPr>
        <w:t>Author</w:t>
      </w:r>
      <w:r w:rsidRPr="005F2C66">
        <w:t xml:space="preserve">, </w:t>
      </w:r>
      <w:r w:rsidRPr="005F2C66">
        <w:rPr>
          <w:i/>
        </w:rPr>
        <w:t xml:space="preserve">Journal of Financial Planning, </w:t>
      </w:r>
      <w:r w:rsidRPr="005F2C66">
        <w:t>“Fiduciary Responsibility:  Liability and Consequences,” November, 2005.</w:t>
      </w:r>
    </w:p>
    <w:p w14:paraId="1B35AA27" w14:textId="77777777" w:rsidR="005F2C66" w:rsidRPr="005F2C66" w:rsidRDefault="005F2C66" w:rsidP="005F2C66"/>
    <w:p w14:paraId="74CD682A" w14:textId="77777777" w:rsidR="005F2C66" w:rsidRPr="005F2C66" w:rsidRDefault="005F2C66" w:rsidP="005F2C66">
      <w:r w:rsidRPr="005F2C66">
        <w:rPr>
          <w:b/>
        </w:rPr>
        <w:t>Author</w:t>
      </w:r>
      <w:r w:rsidRPr="005F2C66">
        <w:t xml:space="preserve">, </w:t>
      </w:r>
      <w:r w:rsidRPr="005F2C66">
        <w:rPr>
          <w:i/>
        </w:rPr>
        <w:t>PIABA Bar Journal</w:t>
      </w:r>
      <w:r w:rsidRPr="005F2C66">
        <w:t>, “Mastering Prudent Investment Practices — Step-by-Step Guidelines for Investment Professionals,” Spring, 2004.</w:t>
      </w:r>
    </w:p>
    <w:p w14:paraId="072216D6" w14:textId="77777777" w:rsidR="005F2C66" w:rsidRPr="005F2C66" w:rsidRDefault="005F2C66" w:rsidP="005F2C66"/>
    <w:p w14:paraId="41D2C1B8" w14:textId="77777777" w:rsidR="005F2C66" w:rsidRPr="005F2C66" w:rsidRDefault="005F2C66" w:rsidP="005F2C66">
      <w:r w:rsidRPr="005F2C66">
        <w:rPr>
          <w:b/>
        </w:rPr>
        <w:t>Author</w:t>
      </w:r>
      <w:r w:rsidRPr="005F2C66">
        <w:t xml:space="preserve">, </w:t>
      </w:r>
      <w:r w:rsidRPr="005F2C66">
        <w:rPr>
          <w:i/>
        </w:rPr>
        <w:t>PIABA Bar Journal</w:t>
      </w:r>
      <w:r w:rsidRPr="005F2C66">
        <w:t>, “The Calculation of Damages in Taking Away Cases,” Winter, 2004.</w:t>
      </w:r>
    </w:p>
    <w:p w14:paraId="4D5E8F9A" w14:textId="77777777" w:rsidR="005F2C66" w:rsidRPr="005F2C66" w:rsidRDefault="005F2C66" w:rsidP="005F2C66"/>
    <w:p w14:paraId="3FB7E608" w14:textId="5DF2379E" w:rsidR="00443B36" w:rsidRDefault="00443B36" w:rsidP="005F2C66">
      <w:pPr>
        <w:rPr>
          <w:b/>
        </w:rPr>
      </w:pPr>
      <w:r>
        <w:rPr>
          <w:b/>
        </w:rPr>
        <w:t xml:space="preserve">Author, </w:t>
      </w:r>
      <w:r w:rsidRPr="005F2C66">
        <w:rPr>
          <w:i/>
        </w:rPr>
        <w:t>FinancialCounsel.com</w:t>
      </w:r>
      <w:r>
        <w:rPr>
          <w:i/>
        </w:rPr>
        <w:t>, “</w:t>
      </w:r>
      <w:r>
        <w:t>The JOBS Act, Title II and Regulations D,”</w:t>
      </w:r>
      <w:r w:rsidRPr="005F2C66">
        <w:rPr>
          <w:b/>
        </w:rPr>
        <w:t xml:space="preserve"> </w:t>
      </w:r>
      <w:r>
        <w:t>March,</w:t>
      </w:r>
      <w:r w:rsidR="00596B6F">
        <w:t xml:space="preserve"> 2</w:t>
      </w:r>
      <w:r>
        <w:t>019.</w:t>
      </w:r>
    </w:p>
    <w:p w14:paraId="0D0087A4" w14:textId="77777777" w:rsidR="00443B36" w:rsidRDefault="00443B36" w:rsidP="005F2C66">
      <w:pPr>
        <w:rPr>
          <w:b/>
        </w:rPr>
      </w:pPr>
    </w:p>
    <w:p w14:paraId="68606409" w14:textId="77777777" w:rsidR="00AC2D54" w:rsidRDefault="00AC2D54" w:rsidP="005F2C66">
      <w:pPr>
        <w:rPr>
          <w:b/>
        </w:rPr>
      </w:pPr>
      <w:r w:rsidRPr="005F2C66">
        <w:rPr>
          <w:b/>
        </w:rPr>
        <w:t>Author</w:t>
      </w:r>
      <w:r w:rsidRPr="005F2C66">
        <w:t xml:space="preserve">, </w:t>
      </w:r>
      <w:r w:rsidRPr="005F2C66">
        <w:rPr>
          <w:i/>
        </w:rPr>
        <w:t>FinancialCounsel.com</w:t>
      </w:r>
      <w:r w:rsidRPr="005F2C66">
        <w:t>, “</w:t>
      </w:r>
      <w:r w:rsidR="002D218F">
        <w:t>Advisor Fees Compared</w:t>
      </w:r>
      <w:r w:rsidR="006A63AB">
        <w:t xml:space="preserve"> – A Review of Fee Benchmarker</w:t>
      </w:r>
      <w:r w:rsidR="006A63AB" w:rsidRPr="006A63AB">
        <w:rPr>
          <w:vertAlign w:val="superscript"/>
        </w:rPr>
        <w:t>TM</w:t>
      </w:r>
      <w:r w:rsidR="006A63AB">
        <w:t xml:space="preserve"> Advisor Fee Almanac from Ann Schleck &amp; Co.</w:t>
      </w:r>
      <w:r w:rsidRPr="005F2C66">
        <w:t xml:space="preserve">,” </w:t>
      </w:r>
      <w:r>
        <w:t>June, 2015</w:t>
      </w:r>
      <w:r w:rsidRPr="005F2C66">
        <w:t>.</w:t>
      </w:r>
    </w:p>
    <w:p w14:paraId="54EA95B8" w14:textId="77777777" w:rsidR="00AC2D54" w:rsidRDefault="00AC2D54" w:rsidP="005F2C66">
      <w:pPr>
        <w:rPr>
          <w:b/>
        </w:rPr>
      </w:pPr>
    </w:p>
    <w:p w14:paraId="467E95A0" w14:textId="77777777" w:rsidR="005F2C66" w:rsidRPr="005F2C66" w:rsidRDefault="005F2C66" w:rsidP="005F2C66">
      <w:r w:rsidRPr="005F2C66">
        <w:rPr>
          <w:b/>
        </w:rPr>
        <w:t>Author</w:t>
      </w:r>
      <w:r w:rsidRPr="005F2C66">
        <w:t xml:space="preserve">, </w:t>
      </w:r>
      <w:r w:rsidRPr="005F2C66">
        <w:rPr>
          <w:i/>
        </w:rPr>
        <w:t>FinancialCounsel.com</w:t>
      </w:r>
      <w:r w:rsidRPr="005F2C66">
        <w:t>, “Basics of Regulation D Offerings,” April, 2011.</w:t>
      </w:r>
    </w:p>
    <w:p w14:paraId="013EF68B" w14:textId="77777777" w:rsidR="005F2C66" w:rsidRPr="005F2C66" w:rsidRDefault="005F2C66" w:rsidP="005F2C66"/>
    <w:p w14:paraId="6784D6AF" w14:textId="4ED76C56" w:rsidR="005F2C66" w:rsidRPr="005F2C66" w:rsidRDefault="005F2C66" w:rsidP="005F2C66">
      <w:r w:rsidRPr="005F2C66">
        <w:rPr>
          <w:b/>
        </w:rPr>
        <w:t>Author</w:t>
      </w:r>
      <w:r w:rsidRPr="005F2C66">
        <w:t xml:space="preserve">, </w:t>
      </w:r>
      <w:r w:rsidRPr="005F2C66">
        <w:rPr>
          <w:i/>
        </w:rPr>
        <w:t xml:space="preserve">FinancialCounsel.com, </w:t>
      </w:r>
      <w:r w:rsidRPr="005F2C66">
        <w:t>“Discounts for Lack of Marketability,” August</w:t>
      </w:r>
      <w:r w:rsidR="00596B6F">
        <w:t>,</w:t>
      </w:r>
      <w:r w:rsidRPr="005F2C66">
        <w:t xml:space="preserve"> 2009.</w:t>
      </w:r>
    </w:p>
    <w:p w14:paraId="6E2CED83" w14:textId="77777777" w:rsidR="005F2C66" w:rsidRPr="005F2C66" w:rsidRDefault="005F2C66" w:rsidP="005F2C66"/>
    <w:p w14:paraId="4CA09C25" w14:textId="77777777" w:rsidR="005F2C66" w:rsidRPr="005F2C66" w:rsidRDefault="005F2C66" w:rsidP="005F2C66">
      <w:r w:rsidRPr="005F2C66">
        <w:rPr>
          <w:b/>
        </w:rPr>
        <w:t>Author</w:t>
      </w:r>
      <w:r w:rsidRPr="005F2C66">
        <w:t xml:space="preserve">, </w:t>
      </w:r>
      <w:r w:rsidRPr="005F2C66">
        <w:rPr>
          <w:i/>
        </w:rPr>
        <w:t>FinancialCounsel.com</w:t>
      </w:r>
      <w:r w:rsidRPr="005F2C66">
        <w:t>, “Fiduciary Duty of Loyalty in Affiliated Mutual Funds: Sole Interest vs. Best Interest</w:t>
      </w:r>
      <w:r w:rsidR="00E0730D" w:rsidRPr="005F2C66">
        <w:t>?</w:t>
      </w:r>
      <w:r w:rsidRPr="005F2C66">
        <w:t>”  August 6, 2007.</w:t>
      </w:r>
    </w:p>
    <w:p w14:paraId="48932476" w14:textId="77777777" w:rsidR="005F2C66" w:rsidRPr="005F2C66" w:rsidRDefault="005F2C66" w:rsidP="005F2C66"/>
    <w:p w14:paraId="4FEAA7B8" w14:textId="77777777" w:rsidR="005F2C66" w:rsidRPr="005F2C66" w:rsidRDefault="005F2C66" w:rsidP="005F2C66">
      <w:r w:rsidRPr="005F2C66">
        <w:rPr>
          <w:b/>
        </w:rPr>
        <w:t>Author</w:t>
      </w:r>
      <w:r w:rsidRPr="005F2C66">
        <w:t xml:space="preserve">, </w:t>
      </w:r>
      <w:r w:rsidRPr="005F2C66">
        <w:rPr>
          <w:i/>
        </w:rPr>
        <w:t>FinancialCounsel.com</w:t>
      </w:r>
      <w:r w:rsidRPr="005F2C66">
        <w:t>, “Comparison of Bank Trust Department Fees,” May 14, 2007.</w:t>
      </w:r>
    </w:p>
    <w:p w14:paraId="78312A69" w14:textId="77777777" w:rsidR="005F2C66" w:rsidRPr="005F2C66" w:rsidRDefault="005F2C66" w:rsidP="005F2C66"/>
    <w:p w14:paraId="113505EB" w14:textId="77777777" w:rsidR="005F2C66" w:rsidRPr="005F2C66" w:rsidRDefault="005F2C66" w:rsidP="005F2C66">
      <w:r w:rsidRPr="005F2C66">
        <w:rPr>
          <w:b/>
        </w:rPr>
        <w:t>Author,</w:t>
      </w:r>
      <w:r w:rsidRPr="005F2C66">
        <w:t xml:space="preserve"> </w:t>
      </w:r>
      <w:r w:rsidRPr="005F2C66">
        <w:rPr>
          <w:i/>
        </w:rPr>
        <w:t>FinancialCounsel.com</w:t>
      </w:r>
      <w:r w:rsidRPr="005F2C66">
        <w:t>, “Securities Offerings Reform,” April 24, 2006.</w:t>
      </w:r>
    </w:p>
    <w:p w14:paraId="3A30C0F1" w14:textId="77777777" w:rsidR="005F2C66" w:rsidRPr="005F2C66" w:rsidRDefault="005F2C66" w:rsidP="005F2C66"/>
    <w:p w14:paraId="7B66BCB5" w14:textId="77777777" w:rsidR="005F2C66" w:rsidRPr="005F2C66" w:rsidRDefault="005F2C66" w:rsidP="005F2C66">
      <w:r w:rsidRPr="005F2C66">
        <w:rPr>
          <w:b/>
        </w:rPr>
        <w:t>Author</w:t>
      </w:r>
      <w:r w:rsidRPr="005F2C66">
        <w:t xml:space="preserve">, </w:t>
      </w:r>
      <w:r w:rsidRPr="005F2C66">
        <w:rPr>
          <w:i/>
        </w:rPr>
        <w:t>FinancialCounsel.com</w:t>
      </w:r>
      <w:r w:rsidRPr="005F2C66">
        <w:t xml:space="preserve">, “Fiduciary Responsibility:  Liability and Consequences,” December, 2005 (republished </w:t>
      </w:r>
      <w:r w:rsidRPr="005F2C66">
        <w:rPr>
          <w:i/>
        </w:rPr>
        <w:t>Journal of Financial Planning</w:t>
      </w:r>
      <w:r w:rsidRPr="005F2C66">
        <w:t xml:space="preserve"> article noted above).</w:t>
      </w:r>
    </w:p>
    <w:p w14:paraId="2F625FD2" w14:textId="77777777" w:rsidR="005F2C66" w:rsidRPr="005F2C66" w:rsidRDefault="005F2C66" w:rsidP="005F2C66"/>
    <w:p w14:paraId="6C02BCB3" w14:textId="77777777" w:rsidR="005F2C66" w:rsidRPr="005F2C66" w:rsidRDefault="005F2C66" w:rsidP="005F2C66">
      <w:r w:rsidRPr="005F2C66">
        <w:rPr>
          <w:b/>
        </w:rPr>
        <w:t>Author</w:t>
      </w:r>
      <w:r w:rsidRPr="005F2C66">
        <w:t xml:space="preserve">, </w:t>
      </w:r>
      <w:r w:rsidRPr="005F2C66">
        <w:rPr>
          <w:u w:val="single"/>
        </w:rPr>
        <w:t>Everybody’s Guide to Tax Shelters.</w:t>
      </w:r>
    </w:p>
    <w:p w14:paraId="400E0ED2" w14:textId="77777777" w:rsidR="005F2C66" w:rsidRPr="005F2C66" w:rsidRDefault="005F2C66" w:rsidP="005F2C66"/>
    <w:p w14:paraId="765B686D" w14:textId="77777777" w:rsidR="005F2C66" w:rsidRPr="005F2C66" w:rsidRDefault="005F2C66" w:rsidP="005F2C66">
      <w:r w:rsidRPr="005F2C66">
        <w:rPr>
          <w:b/>
        </w:rPr>
        <w:t>Author and Editor-In-Chief</w:t>
      </w:r>
      <w:r w:rsidRPr="005F2C66">
        <w:t xml:space="preserve">, </w:t>
      </w:r>
      <w:r w:rsidRPr="005F2C66">
        <w:rPr>
          <w:u w:val="single"/>
        </w:rPr>
        <w:t>Investment and Tax Shelter Blue Book</w:t>
      </w:r>
      <w:r w:rsidRPr="005F2C66">
        <w:t>,</w:t>
      </w:r>
    </w:p>
    <w:p w14:paraId="2BC20B25" w14:textId="77777777" w:rsidR="005F2C66" w:rsidRPr="005F2C66" w:rsidRDefault="005F2C66" w:rsidP="005F2C66">
      <w:r w:rsidRPr="005F2C66">
        <w:t>Directory for the investment, tax shelter, and financial planning industries.</w:t>
      </w:r>
    </w:p>
    <w:p w14:paraId="4E32537F" w14:textId="77777777" w:rsidR="005F2C66" w:rsidRPr="005F2C66" w:rsidRDefault="005F2C66" w:rsidP="005F2C66"/>
    <w:p w14:paraId="7BBA0CCB" w14:textId="77777777" w:rsidR="005F2C66" w:rsidRPr="005F2C66" w:rsidRDefault="005F2C66" w:rsidP="005F2C66">
      <w:r w:rsidRPr="005F2C66">
        <w:rPr>
          <w:b/>
        </w:rPr>
        <w:lastRenderedPageBreak/>
        <w:t>Author and Editor-In-Chief</w:t>
      </w:r>
      <w:r w:rsidRPr="005F2C66">
        <w:t xml:space="preserve">, </w:t>
      </w:r>
      <w:r w:rsidRPr="005F2C66">
        <w:rPr>
          <w:i/>
        </w:rPr>
        <w:t>The Ober Income Letter</w:t>
      </w:r>
      <w:r w:rsidRPr="005F2C66">
        <w:t xml:space="preserve"> — (Originally the </w:t>
      </w:r>
      <w:r w:rsidRPr="005F2C66">
        <w:rPr>
          <w:i/>
        </w:rPr>
        <w:t>O.I.L. Income Letter</w:t>
      </w:r>
      <w:r w:rsidRPr="005F2C66">
        <w:t>) - Newsletter specializing in real estate and oil and gas income programs analysis and valuation.</w:t>
      </w:r>
    </w:p>
    <w:p w14:paraId="2B89C9E6" w14:textId="77777777" w:rsidR="00C21097" w:rsidRDefault="00C21097" w:rsidP="005F2C66">
      <w:pPr>
        <w:rPr>
          <w:b/>
        </w:rPr>
      </w:pPr>
    </w:p>
    <w:p w14:paraId="601343A9" w14:textId="77777777" w:rsidR="005F2C66" w:rsidRPr="005F2C66" w:rsidRDefault="005F2C66" w:rsidP="005F2C66">
      <w:r w:rsidRPr="005F2C66">
        <w:rPr>
          <w:b/>
        </w:rPr>
        <w:t>Author</w:t>
      </w:r>
      <w:r w:rsidRPr="005F2C66">
        <w:t xml:space="preserve">, </w:t>
      </w:r>
      <w:r w:rsidRPr="006577B9">
        <w:rPr>
          <w:i/>
        </w:rPr>
        <w:t>Personal Financial Planning</w:t>
      </w:r>
      <w:r w:rsidRPr="005F2C66">
        <w:t>, “Ten Steps to Comprehensive Due Diligence,” 1988.</w:t>
      </w:r>
    </w:p>
    <w:p w14:paraId="5E1792B1" w14:textId="77777777" w:rsidR="005F2C66" w:rsidRPr="005F2C66" w:rsidRDefault="005F2C66" w:rsidP="005F2C66"/>
    <w:p w14:paraId="49638A82" w14:textId="77777777" w:rsidR="005F2C66" w:rsidRDefault="005F2C66" w:rsidP="005F2C66">
      <w:r w:rsidRPr="005F2C66">
        <w:rPr>
          <w:b/>
        </w:rPr>
        <w:t>Co-Author</w:t>
      </w:r>
      <w:r w:rsidRPr="005F2C66">
        <w:t xml:space="preserve"> with Hannah Terhune, and Garrett Fisher, “Comprehensive Due Diligence for Hedge Fund Investors,” Capital Management Law, July 7, 2006.</w:t>
      </w:r>
    </w:p>
    <w:p w14:paraId="1FA418E6" w14:textId="77777777" w:rsidR="00F96C5D" w:rsidRDefault="00F96C5D" w:rsidP="002918A7">
      <w:pPr>
        <w:rPr>
          <w:b/>
        </w:rPr>
      </w:pPr>
    </w:p>
    <w:p w14:paraId="701DE17E" w14:textId="073BE3F0" w:rsidR="002918A7" w:rsidRPr="005F2C66" w:rsidRDefault="002918A7" w:rsidP="002918A7">
      <w:r w:rsidRPr="005F2C66">
        <w:rPr>
          <w:b/>
        </w:rPr>
        <w:t>Author</w:t>
      </w:r>
      <w:r w:rsidRPr="005F2C66">
        <w:t xml:space="preserve"> of the following series of industry training guides:</w:t>
      </w:r>
    </w:p>
    <w:p w14:paraId="45608FEA" w14:textId="77777777" w:rsidR="002918A7" w:rsidRPr="005F2C66" w:rsidRDefault="002918A7" w:rsidP="002918A7"/>
    <w:p w14:paraId="247DE8A3" w14:textId="77777777" w:rsidR="002918A7" w:rsidRDefault="002918A7" w:rsidP="002918A7">
      <w:pPr>
        <w:pStyle w:val="NoSpacing"/>
        <w:ind w:left="720"/>
        <w:rPr>
          <w:i/>
        </w:rPr>
      </w:pPr>
      <w:r w:rsidRPr="009344E5">
        <w:rPr>
          <w:i/>
        </w:rPr>
        <w:t>How to Read a Prospectus.</w:t>
      </w:r>
    </w:p>
    <w:p w14:paraId="0D528CE2" w14:textId="77777777" w:rsidR="002918A7" w:rsidRPr="009344E5" w:rsidRDefault="002918A7" w:rsidP="002918A7">
      <w:pPr>
        <w:pStyle w:val="NoSpacing"/>
        <w:ind w:left="720"/>
        <w:rPr>
          <w:i/>
        </w:rPr>
      </w:pPr>
    </w:p>
    <w:p w14:paraId="32F38182" w14:textId="77777777" w:rsidR="002918A7" w:rsidRDefault="002918A7" w:rsidP="002918A7">
      <w:pPr>
        <w:pStyle w:val="NoSpacing"/>
        <w:ind w:left="720"/>
        <w:rPr>
          <w:i/>
        </w:rPr>
      </w:pPr>
      <w:r w:rsidRPr="009344E5">
        <w:rPr>
          <w:i/>
        </w:rPr>
        <w:t>How to Evaluate Real Estate Tax Shelters.</w:t>
      </w:r>
    </w:p>
    <w:p w14:paraId="42BC3609" w14:textId="77777777" w:rsidR="002918A7" w:rsidRPr="009344E5" w:rsidRDefault="002918A7" w:rsidP="002918A7">
      <w:pPr>
        <w:pStyle w:val="NoSpacing"/>
        <w:ind w:left="720"/>
        <w:rPr>
          <w:i/>
        </w:rPr>
      </w:pPr>
    </w:p>
    <w:p w14:paraId="4971E0FE" w14:textId="77777777" w:rsidR="002918A7" w:rsidRDefault="002918A7" w:rsidP="002918A7">
      <w:pPr>
        <w:pStyle w:val="NoSpacing"/>
        <w:ind w:left="720"/>
        <w:rPr>
          <w:i/>
        </w:rPr>
      </w:pPr>
      <w:r w:rsidRPr="009344E5">
        <w:rPr>
          <w:i/>
        </w:rPr>
        <w:t>How to Evaluate Oil and Gas Tax Shelters.</w:t>
      </w:r>
    </w:p>
    <w:p w14:paraId="30D1556E" w14:textId="77777777" w:rsidR="002918A7" w:rsidRPr="009344E5" w:rsidRDefault="002918A7" w:rsidP="002918A7">
      <w:pPr>
        <w:pStyle w:val="NoSpacing"/>
        <w:ind w:left="720"/>
        <w:rPr>
          <w:i/>
        </w:rPr>
      </w:pPr>
    </w:p>
    <w:p w14:paraId="69C718AD" w14:textId="77777777" w:rsidR="002918A7" w:rsidRDefault="002918A7" w:rsidP="00533555">
      <w:pPr>
        <w:pStyle w:val="NoSpacing"/>
        <w:ind w:left="720"/>
        <w:rPr>
          <w:i/>
        </w:rPr>
      </w:pPr>
      <w:r w:rsidRPr="009344E5">
        <w:rPr>
          <w:i/>
        </w:rPr>
        <w:t>How to Evaluate Investment Return: Net Present Value, Internal Rate of Return</w:t>
      </w:r>
      <w:r w:rsidR="00533555">
        <w:rPr>
          <w:i/>
        </w:rPr>
        <w:t xml:space="preserve"> </w:t>
      </w:r>
      <w:r>
        <w:rPr>
          <w:i/>
        </w:rPr>
        <w:t xml:space="preserve">and </w:t>
      </w:r>
      <w:r w:rsidRPr="009344E5">
        <w:rPr>
          <w:i/>
        </w:rPr>
        <w:t>Financial Management Rate of Return.</w:t>
      </w:r>
    </w:p>
    <w:p w14:paraId="160A9C23" w14:textId="77777777" w:rsidR="002918A7" w:rsidRPr="005F2C66" w:rsidRDefault="002918A7" w:rsidP="005F2C66"/>
    <w:p w14:paraId="3014A4C9" w14:textId="77777777" w:rsidR="005F2C66" w:rsidRPr="005F2C66" w:rsidRDefault="005F2C66" w:rsidP="005F2C66">
      <w:pPr>
        <w:rPr>
          <w:b/>
        </w:rPr>
      </w:pPr>
    </w:p>
    <w:p w14:paraId="23028418" w14:textId="24826E1D" w:rsidR="005F2C66" w:rsidRPr="005F2C66" w:rsidRDefault="005F2C66" w:rsidP="005F2C66">
      <w:pPr>
        <w:rPr>
          <w:b/>
        </w:rPr>
      </w:pPr>
      <w:r w:rsidRPr="005F2C66">
        <w:rPr>
          <w:b/>
        </w:rPr>
        <w:t>PRESENTATIONS AND LECTURES (</w:t>
      </w:r>
      <w:r w:rsidR="00E72334">
        <w:rPr>
          <w:b/>
        </w:rPr>
        <w:t>Recent</w:t>
      </w:r>
      <w:r w:rsidRPr="005F2C66">
        <w:rPr>
          <w:b/>
        </w:rPr>
        <w:t>).</w:t>
      </w:r>
    </w:p>
    <w:p w14:paraId="329254BA" w14:textId="77777777" w:rsidR="005F2C66" w:rsidRPr="005F2C66" w:rsidRDefault="005F2C66" w:rsidP="005F2C66">
      <w:pPr>
        <w:rPr>
          <w:b/>
        </w:rPr>
      </w:pPr>
    </w:p>
    <w:p w14:paraId="32C92C67" w14:textId="77777777" w:rsidR="005F2C66" w:rsidRDefault="005F2C66" w:rsidP="005F2C66">
      <w:r w:rsidRPr="005F2C66">
        <w:rPr>
          <w:b/>
        </w:rPr>
        <w:t>“</w:t>
      </w:r>
      <w:r w:rsidRPr="005F2C66">
        <w:t>Fraud and Ponzi Schemes,” Chair of Panel and Presenter, Securities Experts’ Roundtable Conference, Palm Beach, Florida, 2009.</w:t>
      </w:r>
    </w:p>
    <w:p w14:paraId="6AB9342C" w14:textId="77777777" w:rsidR="00E0730D" w:rsidRPr="005F2C66" w:rsidRDefault="00E0730D" w:rsidP="005F2C66"/>
    <w:p w14:paraId="5E136422" w14:textId="77777777" w:rsidR="005F2C66" w:rsidRDefault="005F2C66" w:rsidP="005F2C66">
      <w:r w:rsidRPr="005F2C66">
        <w:t>“Broker-Dealer Obligations to Investigate Regulation D (Private Placement Offerings),” Chair of Panel and Presenter, Securities Experts’ Roundtable Conference, New York, New York, 2010.</w:t>
      </w:r>
    </w:p>
    <w:p w14:paraId="28F558A0" w14:textId="77777777" w:rsidR="00E0730D" w:rsidRPr="005F2C66" w:rsidRDefault="00E0730D" w:rsidP="005F2C66"/>
    <w:p w14:paraId="6755B7A8" w14:textId="77777777" w:rsidR="005F2C66" w:rsidRDefault="005F2C66" w:rsidP="005F2C66">
      <w:r w:rsidRPr="005F2C66">
        <w:t>“Fiduciary Best Practices and Regulatory Updates,” Presenter, Securities Experts’ Roundtable Conference, Chicago, Illinois, 2011.</w:t>
      </w:r>
    </w:p>
    <w:p w14:paraId="5E739773" w14:textId="77777777" w:rsidR="00E0730D" w:rsidRPr="005F2C66" w:rsidRDefault="00E0730D" w:rsidP="005F2C66"/>
    <w:p w14:paraId="1385F471" w14:textId="77777777" w:rsidR="005F2C66" w:rsidRDefault="005F2C66" w:rsidP="005F2C66">
      <w:r w:rsidRPr="005F2C66">
        <w:t>“Expert Witness Best Practices,” Chair of Panel and Presenter, Securities Experts’ Roundtable Conference, Washington, D.C., 2012.</w:t>
      </w:r>
    </w:p>
    <w:p w14:paraId="14FF487A" w14:textId="77777777" w:rsidR="00E0730D" w:rsidRPr="005F2C66" w:rsidRDefault="00E0730D" w:rsidP="005F2C66"/>
    <w:p w14:paraId="208C375B" w14:textId="77777777" w:rsidR="005F2C66" w:rsidRDefault="005F2C66" w:rsidP="005F2C66">
      <w:r w:rsidRPr="005F2C66">
        <w:t>Securities Experts’ Roundtable Conference Chair, Organized Speaker Presentations Includ</w:t>
      </w:r>
      <w:r w:rsidR="00075A55">
        <w:t>ing</w:t>
      </w:r>
      <w:r w:rsidRPr="005F2C66">
        <w:t xml:space="preserve"> Bayou Ponzi Scheme, Boston, Massachusetts, 2013.</w:t>
      </w:r>
    </w:p>
    <w:p w14:paraId="3E345907" w14:textId="77777777" w:rsidR="00E0730D" w:rsidRPr="005F2C66" w:rsidRDefault="00E0730D" w:rsidP="005F2C66"/>
    <w:p w14:paraId="79483981" w14:textId="77777777" w:rsidR="005F2C66" w:rsidRDefault="005F2C66" w:rsidP="005F2C66">
      <w:r w:rsidRPr="005F2C66">
        <w:t>“Expert Witness Best Practices,” Presenter, Public Investors Arbitration Bar Association, Orlando, Florida, 2013.</w:t>
      </w:r>
    </w:p>
    <w:p w14:paraId="62D31381" w14:textId="77777777" w:rsidR="003D0358" w:rsidRDefault="003D0358" w:rsidP="005F2C66"/>
    <w:p w14:paraId="56A02FA0" w14:textId="77777777" w:rsidR="003D0358" w:rsidRDefault="003D0358" w:rsidP="003D0358">
      <w:r>
        <w:t>“Regulatory Tug of War over Recasting Traditional Broker-Dealer Suitability Model to Look More Like Registered Investment Advise</w:t>
      </w:r>
      <w:r w:rsidR="00075A55">
        <w:t>r Best Interest/Fiduciary Model -</w:t>
      </w:r>
      <w:r>
        <w:t xml:space="preserve"> </w:t>
      </w:r>
      <w:r w:rsidR="00264F72">
        <w:t xml:space="preserve">the DOL </w:t>
      </w:r>
      <w:r w:rsidR="00264F72">
        <w:lastRenderedPageBreak/>
        <w:t>Fiduciary Proposed Rule,</w:t>
      </w:r>
      <w:r w:rsidR="00075A55">
        <w:t xml:space="preserve">” Chair of Panel and </w:t>
      </w:r>
      <w:r>
        <w:t>Presenter, Securities Experts’ Roundtable</w:t>
      </w:r>
      <w:r w:rsidR="00075A55">
        <w:t xml:space="preserve"> Conference</w:t>
      </w:r>
      <w:r>
        <w:t xml:space="preserve">, Washington, D.C., 2015. </w:t>
      </w:r>
    </w:p>
    <w:p w14:paraId="5A4FFF50" w14:textId="77777777" w:rsidR="00075A55" w:rsidRDefault="00075A55" w:rsidP="003D0358"/>
    <w:p w14:paraId="4A02995F" w14:textId="6F90202B" w:rsidR="00075A55" w:rsidRDefault="00075A55" w:rsidP="00075A55">
      <w:r>
        <w:rPr>
          <w:b/>
        </w:rPr>
        <w:t>“</w:t>
      </w:r>
      <w:r>
        <w:t>The DOL Fiduciary Rule in FINRA Arbitrations,” Chair of Panel and Presenter, Securities Experts’ Roundtable Conference, New York, NY, 2016.</w:t>
      </w:r>
    </w:p>
    <w:p w14:paraId="072F0BAF" w14:textId="32DFE801" w:rsidR="004413CA" w:rsidRDefault="004413CA" w:rsidP="00075A55"/>
    <w:p w14:paraId="52D44761" w14:textId="5B7D6197" w:rsidR="004413CA" w:rsidRDefault="004413CA" w:rsidP="00075A55">
      <w:r>
        <w:t>“Ponzi Schemes, Broker-Dealers and Registered Investment Advisor</w:t>
      </w:r>
      <w:r w:rsidR="00850D2E">
        <w:t xml:space="preserve">,” </w:t>
      </w:r>
      <w:r>
        <w:t>A brief history and statistics on Ponzi schemes. FINRA Rules and Standards for Broker-Dealers Selling Private Placements. Review of case studies on Bernard Madoff and on Medical Capital. Discussion of Suspicious Activity Reports.</w:t>
      </w:r>
      <w:r w:rsidR="00850D2E">
        <w:t xml:space="preserve"> Chair and Presenter, Securities Experts’ Roundtable Conference, Washington, D.C., 2018.</w:t>
      </w:r>
    </w:p>
    <w:p w14:paraId="3640941A" w14:textId="3D66F9A4" w:rsidR="005F2C66" w:rsidRPr="005F2C66" w:rsidRDefault="005F2C66" w:rsidP="005F2C66">
      <w:pPr>
        <w:rPr>
          <w:b/>
        </w:rPr>
      </w:pPr>
      <w:r w:rsidRPr="005F2C66">
        <w:rPr>
          <w:b/>
        </w:rPr>
        <w:t>PROFESSIONAL LICENSES.</w:t>
      </w:r>
    </w:p>
    <w:p w14:paraId="667E69BB" w14:textId="77777777" w:rsidR="005F2C66" w:rsidRPr="005F2C66" w:rsidRDefault="005F2C66" w:rsidP="005F2C66"/>
    <w:p w14:paraId="1AAB254B" w14:textId="77777777" w:rsidR="003D0358" w:rsidRDefault="003D0358" w:rsidP="003D0358">
      <w:r w:rsidRPr="003D0358">
        <w:rPr>
          <w:b/>
        </w:rPr>
        <w:t>Accredited Investment Fiduciary Analyst</w:t>
      </w:r>
      <w:r w:rsidR="00264F72">
        <w:rPr>
          <w:b/>
        </w:rPr>
        <w:t>®</w:t>
      </w:r>
      <w:r w:rsidRPr="003D0358">
        <w:rPr>
          <w:b/>
        </w:rPr>
        <w:t>, AIFA</w:t>
      </w:r>
      <w:r w:rsidR="00264F72">
        <w:rPr>
          <w:b/>
        </w:rPr>
        <w:t>®</w:t>
      </w:r>
      <w:r>
        <w:t>, 2004 to the Present.</w:t>
      </w:r>
    </w:p>
    <w:p w14:paraId="32C2797A" w14:textId="77777777" w:rsidR="002918A7" w:rsidRDefault="002918A7" w:rsidP="003D0358">
      <w:pPr>
        <w:rPr>
          <w:b/>
        </w:rPr>
      </w:pPr>
    </w:p>
    <w:p w14:paraId="69BAFEE1" w14:textId="77777777" w:rsidR="003D0358" w:rsidRDefault="003D0358" w:rsidP="003D0358">
      <w:r w:rsidRPr="003D0358">
        <w:rPr>
          <w:b/>
        </w:rPr>
        <w:t>Certified Fraud Examiner, CFE</w:t>
      </w:r>
      <w:r>
        <w:t>, 2006 to the Present.</w:t>
      </w:r>
    </w:p>
    <w:p w14:paraId="45D0FB78" w14:textId="77777777" w:rsidR="002918A7" w:rsidRDefault="002918A7" w:rsidP="005F2C66"/>
    <w:p w14:paraId="7D4BFC7D" w14:textId="77777777" w:rsidR="005F2C66" w:rsidRDefault="005F2C66" w:rsidP="005F2C66">
      <w:r w:rsidRPr="005F2C66">
        <w:t xml:space="preserve">Previously held professional licenses with the NASD or New York State:  securities products, including corporate securities, municipal securities, municipal fund securities, options, direct participation programs, </w:t>
      </w:r>
      <w:r w:rsidR="009955F9">
        <w:t xml:space="preserve">commodities, mutual funds, </w:t>
      </w:r>
      <w:r w:rsidRPr="005F2C66">
        <w:t>variable annuities, life insurance, accident insurance, and health insurance.  No complaints or violations.</w:t>
      </w:r>
    </w:p>
    <w:p w14:paraId="672235B4" w14:textId="77777777" w:rsidR="009344E5" w:rsidRDefault="009344E5" w:rsidP="005F2C66"/>
    <w:p w14:paraId="2673229E" w14:textId="77777777" w:rsidR="005F2C66" w:rsidRPr="005F2C66" w:rsidRDefault="005F2C66" w:rsidP="005F2C66">
      <w:pPr>
        <w:rPr>
          <w:b/>
        </w:rPr>
      </w:pPr>
      <w:r w:rsidRPr="005F2C66">
        <w:rPr>
          <w:b/>
        </w:rPr>
        <w:t>MEMBER</w:t>
      </w:r>
      <w:r w:rsidR="00C46151">
        <w:rPr>
          <w:b/>
        </w:rPr>
        <w:t>SHIP.</w:t>
      </w:r>
    </w:p>
    <w:p w14:paraId="2A03D447" w14:textId="77777777" w:rsidR="005F2C66" w:rsidRPr="005F2C66" w:rsidRDefault="005F2C66" w:rsidP="005F2C66"/>
    <w:p w14:paraId="6FF36934" w14:textId="561F77E4" w:rsidR="005F2C66" w:rsidRPr="005F2C66" w:rsidRDefault="005F2C66" w:rsidP="005F2C66">
      <w:r w:rsidRPr="005F2C66">
        <w:t>Securities Experts’ Roundtable, Chairman of the Board and President, 2013-2014; President-Elect, 2012 - 2013; Member of the Board of Directors, 2009 – 201</w:t>
      </w:r>
      <w:r w:rsidR="003D0358">
        <w:t>5</w:t>
      </w:r>
      <w:r w:rsidRPr="005F2C66">
        <w:t>; Chairman, Nomination Committee 2009-2011; Corporate Secretary 2009-2010; Chairman, Membership Committee 2011</w:t>
      </w:r>
      <w:r w:rsidR="002918A7">
        <w:t>-</w:t>
      </w:r>
      <w:r w:rsidRPr="005F2C66">
        <w:t>2012; Chairman, Strategic Planning Committee 2012</w:t>
      </w:r>
      <w:r w:rsidR="002918A7">
        <w:t>-2015</w:t>
      </w:r>
      <w:r w:rsidR="00B67BD9">
        <w:t>, Member 2004-Present.</w:t>
      </w:r>
    </w:p>
    <w:p w14:paraId="6817DFAE" w14:textId="77777777" w:rsidR="005F2C66" w:rsidRPr="005F2C66" w:rsidRDefault="005F2C66" w:rsidP="005F2C66"/>
    <w:p w14:paraId="76ED16B6" w14:textId="77777777" w:rsidR="005F2C66" w:rsidRPr="005F2C66" w:rsidRDefault="005F2C66" w:rsidP="005F2C66">
      <w:r w:rsidRPr="005F2C66">
        <w:t>Advisory Panel for the Accredited Investment Fiduciary™ and Accredited Investment Fiduciary Auditor™ Designation, 2010-2011.</w:t>
      </w:r>
    </w:p>
    <w:p w14:paraId="008D31AB" w14:textId="77777777" w:rsidR="005F2C66" w:rsidRPr="005F2C66" w:rsidRDefault="005F2C66" w:rsidP="005F2C66"/>
    <w:p w14:paraId="43B70FD0" w14:textId="77777777" w:rsidR="00C46151" w:rsidRPr="005F2C66" w:rsidRDefault="00C46151" w:rsidP="00C46151">
      <w:pPr>
        <w:rPr>
          <w:bCs/>
        </w:rPr>
      </w:pPr>
      <w:r w:rsidRPr="005F2C66">
        <w:rPr>
          <w:bCs/>
        </w:rPr>
        <w:t xml:space="preserve">Securities Industry and Financial Markets Association –Compliance and Legal Society. </w:t>
      </w:r>
    </w:p>
    <w:p w14:paraId="60E67C39" w14:textId="77777777" w:rsidR="00C46151" w:rsidRDefault="00C46151" w:rsidP="005F2C66"/>
    <w:p w14:paraId="05387DF6" w14:textId="77777777" w:rsidR="005F2C66" w:rsidRPr="005F2C66" w:rsidRDefault="005F2C66" w:rsidP="005F2C66">
      <w:r w:rsidRPr="005F2C66">
        <w:t xml:space="preserve">Association of Certified Fraud Examiners. </w:t>
      </w:r>
    </w:p>
    <w:p w14:paraId="63450561" w14:textId="77777777" w:rsidR="005F2C66" w:rsidRPr="005F2C66" w:rsidRDefault="005F2C66" w:rsidP="005F2C66"/>
    <w:p w14:paraId="69EC5139" w14:textId="77777777" w:rsidR="005F2C66" w:rsidRPr="005F2C66" w:rsidRDefault="005F2C66" w:rsidP="005F2C66">
      <w:pPr>
        <w:rPr>
          <w:b/>
          <w:bCs/>
        </w:rPr>
      </w:pPr>
      <w:r w:rsidRPr="005F2C66">
        <w:t>Tillit Group</w:t>
      </w:r>
      <w:r w:rsidRPr="005F2C66">
        <w:rPr>
          <w:bCs/>
        </w:rPr>
        <w:t xml:space="preserve"> – Senior Advisory Consultant - provide independent fiduciary audits, including formal reports, reviews, and consulting services to investment fiduciarie</w:t>
      </w:r>
      <w:r w:rsidRPr="005F2C66">
        <w:rPr>
          <w:b/>
          <w:bCs/>
        </w:rPr>
        <w:t>s.</w:t>
      </w:r>
    </w:p>
    <w:p w14:paraId="29F4E2A2" w14:textId="77777777" w:rsidR="005F2C66" w:rsidRPr="005F2C66" w:rsidRDefault="005F2C66" w:rsidP="005F2C66"/>
    <w:p w14:paraId="32A71C0C" w14:textId="77777777" w:rsidR="005F2C66" w:rsidRPr="005F2C66" w:rsidRDefault="005F2C66" w:rsidP="005F2C66">
      <w:r w:rsidRPr="005F2C66">
        <w:t>Who’s Who in America.</w:t>
      </w:r>
    </w:p>
    <w:p w14:paraId="4FEBBEDE" w14:textId="77777777" w:rsidR="005F2C66" w:rsidRPr="005F2C66" w:rsidRDefault="005F2C66" w:rsidP="005F2C66"/>
    <w:p w14:paraId="22062191" w14:textId="77777777" w:rsidR="005F2C66" w:rsidRPr="005F2C66" w:rsidRDefault="005F2C66" w:rsidP="005F2C66">
      <w:r w:rsidRPr="005F2C66">
        <w:t>Who’s Who in Finance and Industry.</w:t>
      </w:r>
    </w:p>
    <w:p w14:paraId="60428620" w14:textId="77777777" w:rsidR="005F2C66" w:rsidRPr="005F2C66" w:rsidRDefault="005F2C66" w:rsidP="005F2C66"/>
    <w:p w14:paraId="73205A48" w14:textId="77777777" w:rsidR="005F2C66" w:rsidRPr="005F2C66" w:rsidRDefault="005F2C66" w:rsidP="005F2C66">
      <w:r w:rsidRPr="005F2C66">
        <w:t>Financial Planning Association.</w:t>
      </w:r>
    </w:p>
    <w:p w14:paraId="3B346222" w14:textId="77777777" w:rsidR="005F2C66" w:rsidRPr="005F2C66" w:rsidRDefault="005F2C66" w:rsidP="005F2C66"/>
    <w:p w14:paraId="63A5946E" w14:textId="77777777" w:rsidR="005F2C66" w:rsidRPr="005F2C66" w:rsidRDefault="005F2C66" w:rsidP="005F2C66">
      <w:r w:rsidRPr="005F2C66">
        <w:lastRenderedPageBreak/>
        <w:t>A.M. Best Company Directory of Recommended Insurance Expert Services Providers (2006).</w:t>
      </w:r>
    </w:p>
    <w:p w14:paraId="623C373F" w14:textId="77777777" w:rsidR="005F2C66" w:rsidRPr="005F2C66" w:rsidRDefault="005F2C66" w:rsidP="005F2C66"/>
    <w:p w14:paraId="3B204C52" w14:textId="77777777" w:rsidR="005F2C66" w:rsidRPr="005F2C66" w:rsidRDefault="005F2C66" w:rsidP="005F2C66">
      <w:r w:rsidRPr="005F2C66">
        <w:t>Standard &amp; Poor’s Register of Corporations, Directors, and Executives.</w:t>
      </w:r>
    </w:p>
    <w:p w14:paraId="611CB6DC" w14:textId="77777777" w:rsidR="005F2C66" w:rsidRPr="005F2C66" w:rsidRDefault="005F2C66" w:rsidP="005F2C66"/>
    <w:p w14:paraId="25A0044B" w14:textId="77777777" w:rsidR="005F2C66" w:rsidRPr="005F2C66" w:rsidRDefault="005F2C66" w:rsidP="005F2C66">
      <w:r w:rsidRPr="005F2C66">
        <w:t>Maverick Concerts, Inc., Investment Committee – Past Trustee.</w:t>
      </w:r>
    </w:p>
    <w:p w14:paraId="06D17A15" w14:textId="77777777" w:rsidR="005F2C66" w:rsidRPr="005F2C66" w:rsidRDefault="005F2C66" w:rsidP="005F2C66"/>
    <w:p w14:paraId="2D451A06" w14:textId="77777777" w:rsidR="005F2C66" w:rsidRPr="005F2C66" w:rsidRDefault="005F2C66" w:rsidP="005F2C66">
      <w:r w:rsidRPr="005F2C66">
        <w:t>Dictionary of International Biography.</w:t>
      </w:r>
    </w:p>
    <w:p w14:paraId="4F0419F7" w14:textId="77777777" w:rsidR="005F2C66" w:rsidRPr="005F2C66" w:rsidRDefault="005F2C66" w:rsidP="005F2C66"/>
    <w:p w14:paraId="6B650500" w14:textId="77777777" w:rsidR="00C21097" w:rsidRDefault="005F2C66" w:rsidP="00C21097">
      <w:r w:rsidRPr="005F2C66">
        <w:t>Authors Guild.</w:t>
      </w:r>
    </w:p>
    <w:p w14:paraId="676998A2" w14:textId="77777777" w:rsidR="006F24BB" w:rsidRDefault="006F24BB" w:rsidP="005F2C66">
      <w:pPr>
        <w:jc w:val="center"/>
      </w:pPr>
    </w:p>
    <w:p w14:paraId="1D7DBCE6" w14:textId="43E5F15F" w:rsidR="00A423D3" w:rsidRPr="007D34EB" w:rsidRDefault="005F2C66" w:rsidP="005F2C66">
      <w:pPr>
        <w:jc w:val="center"/>
      </w:pPr>
      <w:r w:rsidRPr="005F2C66">
        <w:t>The above are selective aspects of Stuart Ober’s background.</w:t>
      </w:r>
    </w:p>
    <w:sectPr w:rsidR="00A423D3" w:rsidRPr="007D34EB" w:rsidSect="00BD5830">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442F" w14:textId="77777777" w:rsidR="00F46904" w:rsidRDefault="00F46904">
      <w:r>
        <w:separator/>
      </w:r>
    </w:p>
  </w:endnote>
  <w:endnote w:type="continuationSeparator" w:id="0">
    <w:p w14:paraId="1CA31150" w14:textId="77777777" w:rsidR="00F46904" w:rsidRDefault="00F4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4953" w14:textId="77777777" w:rsidR="00F46904" w:rsidRDefault="00F46904">
      <w:r>
        <w:separator/>
      </w:r>
    </w:p>
  </w:footnote>
  <w:footnote w:type="continuationSeparator" w:id="0">
    <w:p w14:paraId="51A46B1A" w14:textId="77777777" w:rsidR="00F46904" w:rsidRDefault="00F4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6DB7" w14:textId="77777777" w:rsidR="00F828F7" w:rsidRDefault="00F828F7" w:rsidP="00BD58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D8E564" w14:textId="77777777" w:rsidR="00F828F7" w:rsidRDefault="00F82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EF66" w14:textId="77777777" w:rsidR="00F828F7" w:rsidRPr="00BD5830" w:rsidRDefault="00F828F7" w:rsidP="00BD5830">
    <w:pPr>
      <w:pStyle w:val="Header"/>
      <w:framePr w:wrap="around" w:vAnchor="text" w:hAnchor="margin" w:xAlign="center" w:y="1"/>
      <w:rPr>
        <w:rStyle w:val="PageNumber"/>
        <w:sz w:val="20"/>
        <w:szCs w:val="20"/>
      </w:rPr>
    </w:pPr>
    <w:r w:rsidRPr="00BD5830">
      <w:rPr>
        <w:rStyle w:val="PageNumber"/>
        <w:sz w:val="20"/>
        <w:szCs w:val="20"/>
      </w:rPr>
      <w:fldChar w:fldCharType="begin"/>
    </w:r>
    <w:r w:rsidRPr="00BD5830">
      <w:rPr>
        <w:rStyle w:val="PageNumber"/>
        <w:sz w:val="20"/>
        <w:szCs w:val="20"/>
      </w:rPr>
      <w:instrText xml:space="preserve">PAGE  </w:instrText>
    </w:r>
    <w:r w:rsidRPr="00BD5830">
      <w:rPr>
        <w:rStyle w:val="PageNumber"/>
        <w:sz w:val="20"/>
        <w:szCs w:val="20"/>
      </w:rPr>
      <w:fldChar w:fldCharType="separate"/>
    </w:r>
    <w:r w:rsidR="003C376F">
      <w:rPr>
        <w:rStyle w:val="PageNumber"/>
        <w:noProof/>
        <w:sz w:val="20"/>
        <w:szCs w:val="20"/>
      </w:rPr>
      <w:t>7</w:t>
    </w:r>
    <w:r w:rsidRPr="00BD5830">
      <w:rPr>
        <w:rStyle w:val="PageNumber"/>
        <w:sz w:val="20"/>
        <w:szCs w:val="20"/>
      </w:rPr>
      <w:fldChar w:fldCharType="end"/>
    </w:r>
  </w:p>
  <w:p w14:paraId="209D08A1" w14:textId="77777777" w:rsidR="00F828F7" w:rsidRPr="00BD5830" w:rsidRDefault="00F828F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D3C93"/>
    <w:multiLevelType w:val="hybridMultilevel"/>
    <w:tmpl w:val="7E528E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3C"/>
    <w:rsid w:val="0001027E"/>
    <w:rsid w:val="000109DD"/>
    <w:rsid w:val="000269BF"/>
    <w:rsid w:val="00035895"/>
    <w:rsid w:val="000367AB"/>
    <w:rsid w:val="00037A20"/>
    <w:rsid w:val="000424DB"/>
    <w:rsid w:val="00050E65"/>
    <w:rsid w:val="000526E5"/>
    <w:rsid w:val="000643D9"/>
    <w:rsid w:val="00075A55"/>
    <w:rsid w:val="00085659"/>
    <w:rsid w:val="00087248"/>
    <w:rsid w:val="000A0343"/>
    <w:rsid w:val="000A1426"/>
    <w:rsid w:val="000B3458"/>
    <w:rsid w:val="000B4D6A"/>
    <w:rsid w:val="000B5A2E"/>
    <w:rsid w:val="000C1809"/>
    <w:rsid w:val="000C2D97"/>
    <w:rsid w:val="000C53BA"/>
    <w:rsid w:val="000D52DE"/>
    <w:rsid w:val="000E390E"/>
    <w:rsid w:val="000E78A5"/>
    <w:rsid w:val="000F2E3E"/>
    <w:rsid w:val="00100EB2"/>
    <w:rsid w:val="00101D44"/>
    <w:rsid w:val="0010436E"/>
    <w:rsid w:val="00112AA8"/>
    <w:rsid w:val="00122E79"/>
    <w:rsid w:val="00125C86"/>
    <w:rsid w:val="00141C34"/>
    <w:rsid w:val="00142DF2"/>
    <w:rsid w:val="00142E45"/>
    <w:rsid w:val="00151592"/>
    <w:rsid w:val="00151A3C"/>
    <w:rsid w:val="00175875"/>
    <w:rsid w:val="001822C0"/>
    <w:rsid w:val="00182C2D"/>
    <w:rsid w:val="00196761"/>
    <w:rsid w:val="00197193"/>
    <w:rsid w:val="001978C3"/>
    <w:rsid w:val="001A478A"/>
    <w:rsid w:val="001A7F15"/>
    <w:rsid w:val="001B6C18"/>
    <w:rsid w:val="001D5D97"/>
    <w:rsid w:val="001E28F4"/>
    <w:rsid w:val="001E581B"/>
    <w:rsid w:val="002000A8"/>
    <w:rsid w:val="00212202"/>
    <w:rsid w:val="002202BA"/>
    <w:rsid w:val="00243F4D"/>
    <w:rsid w:val="002614FF"/>
    <w:rsid w:val="00264F72"/>
    <w:rsid w:val="00271B40"/>
    <w:rsid w:val="00272235"/>
    <w:rsid w:val="002728F4"/>
    <w:rsid w:val="00276355"/>
    <w:rsid w:val="002918A7"/>
    <w:rsid w:val="00292064"/>
    <w:rsid w:val="00297AB4"/>
    <w:rsid w:val="002A1373"/>
    <w:rsid w:val="002C2C13"/>
    <w:rsid w:val="002C50C8"/>
    <w:rsid w:val="002D218F"/>
    <w:rsid w:val="002F4B0C"/>
    <w:rsid w:val="002F4B68"/>
    <w:rsid w:val="002F5A2F"/>
    <w:rsid w:val="00300869"/>
    <w:rsid w:val="00310F8A"/>
    <w:rsid w:val="00321547"/>
    <w:rsid w:val="00324E09"/>
    <w:rsid w:val="0032738C"/>
    <w:rsid w:val="00332846"/>
    <w:rsid w:val="00346BD9"/>
    <w:rsid w:val="00347929"/>
    <w:rsid w:val="00356D16"/>
    <w:rsid w:val="003659F5"/>
    <w:rsid w:val="00365CBB"/>
    <w:rsid w:val="00374B09"/>
    <w:rsid w:val="00384341"/>
    <w:rsid w:val="00390B86"/>
    <w:rsid w:val="003A0AC0"/>
    <w:rsid w:val="003A105A"/>
    <w:rsid w:val="003A1DB0"/>
    <w:rsid w:val="003A65AB"/>
    <w:rsid w:val="003B00C9"/>
    <w:rsid w:val="003B3CC9"/>
    <w:rsid w:val="003B3DC3"/>
    <w:rsid w:val="003B4088"/>
    <w:rsid w:val="003B5268"/>
    <w:rsid w:val="003B5B22"/>
    <w:rsid w:val="003B7220"/>
    <w:rsid w:val="003C0204"/>
    <w:rsid w:val="003C376F"/>
    <w:rsid w:val="003C56AD"/>
    <w:rsid w:val="003C63FA"/>
    <w:rsid w:val="003D0358"/>
    <w:rsid w:val="003D1D82"/>
    <w:rsid w:val="003D52C4"/>
    <w:rsid w:val="003D63AC"/>
    <w:rsid w:val="003E4F14"/>
    <w:rsid w:val="003F7CAB"/>
    <w:rsid w:val="003F7D4E"/>
    <w:rsid w:val="00403FAD"/>
    <w:rsid w:val="00410F0B"/>
    <w:rsid w:val="0041156C"/>
    <w:rsid w:val="00413707"/>
    <w:rsid w:val="0041419C"/>
    <w:rsid w:val="00414880"/>
    <w:rsid w:val="004169B2"/>
    <w:rsid w:val="00437476"/>
    <w:rsid w:val="004413CA"/>
    <w:rsid w:val="00442167"/>
    <w:rsid w:val="00443B36"/>
    <w:rsid w:val="00447F5A"/>
    <w:rsid w:val="004527FE"/>
    <w:rsid w:val="00461B01"/>
    <w:rsid w:val="0047284E"/>
    <w:rsid w:val="004741F6"/>
    <w:rsid w:val="00487A4A"/>
    <w:rsid w:val="00495290"/>
    <w:rsid w:val="004957D7"/>
    <w:rsid w:val="00496F6C"/>
    <w:rsid w:val="004A31EA"/>
    <w:rsid w:val="004A49CA"/>
    <w:rsid w:val="004A7248"/>
    <w:rsid w:val="004B1904"/>
    <w:rsid w:val="004C29B1"/>
    <w:rsid w:val="004D7252"/>
    <w:rsid w:val="004F043A"/>
    <w:rsid w:val="00511815"/>
    <w:rsid w:val="00513A5E"/>
    <w:rsid w:val="00515352"/>
    <w:rsid w:val="00517D50"/>
    <w:rsid w:val="00524887"/>
    <w:rsid w:val="0053083C"/>
    <w:rsid w:val="00533555"/>
    <w:rsid w:val="00540293"/>
    <w:rsid w:val="00544286"/>
    <w:rsid w:val="00546AAE"/>
    <w:rsid w:val="0055353D"/>
    <w:rsid w:val="00560C98"/>
    <w:rsid w:val="00564273"/>
    <w:rsid w:val="00582491"/>
    <w:rsid w:val="00586642"/>
    <w:rsid w:val="00592728"/>
    <w:rsid w:val="0059320D"/>
    <w:rsid w:val="00596B6F"/>
    <w:rsid w:val="005A0077"/>
    <w:rsid w:val="005B2EE8"/>
    <w:rsid w:val="005C3043"/>
    <w:rsid w:val="005C4875"/>
    <w:rsid w:val="005C4C2F"/>
    <w:rsid w:val="005C7CA5"/>
    <w:rsid w:val="005D10C6"/>
    <w:rsid w:val="005D1D63"/>
    <w:rsid w:val="005D41D2"/>
    <w:rsid w:val="005D7C4D"/>
    <w:rsid w:val="005F13CC"/>
    <w:rsid w:val="005F2C66"/>
    <w:rsid w:val="00605A50"/>
    <w:rsid w:val="00611C01"/>
    <w:rsid w:val="00614873"/>
    <w:rsid w:val="0062124B"/>
    <w:rsid w:val="006232F4"/>
    <w:rsid w:val="006309F7"/>
    <w:rsid w:val="00631B7D"/>
    <w:rsid w:val="006404F0"/>
    <w:rsid w:val="00653806"/>
    <w:rsid w:val="006558E1"/>
    <w:rsid w:val="006577B9"/>
    <w:rsid w:val="00680C8C"/>
    <w:rsid w:val="0069516D"/>
    <w:rsid w:val="006959E6"/>
    <w:rsid w:val="00696EBB"/>
    <w:rsid w:val="006A63AB"/>
    <w:rsid w:val="006B70A4"/>
    <w:rsid w:val="006C0354"/>
    <w:rsid w:val="006C3C9D"/>
    <w:rsid w:val="006E0AA0"/>
    <w:rsid w:val="006E241D"/>
    <w:rsid w:val="006E3BB6"/>
    <w:rsid w:val="006F24BB"/>
    <w:rsid w:val="006F3502"/>
    <w:rsid w:val="00700B5B"/>
    <w:rsid w:val="0070171D"/>
    <w:rsid w:val="00706906"/>
    <w:rsid w:val="00707B4D"/>
    <w:rsid w:val="00707E23"/>
    <w:rsid w:val="00710FD8"/>
    <w:rsid w:val="00716DA9"/>
    <w:rsid w:val="00721CC2"/>
    <w:rsid w:val="007229D9"/>
    <w:rsid w:val="00740326"/>
    <w:rsid w:val="007405B3"/>
    <w:rsid w:val="00751F66"/>
    <w:rsid w:val="007575E5"/>
    <w:rsid w:val="00762C23"/>
    <w:rsid w:val="007641A1"/>
    <w:rsid w:val="007808AD"/>
    <w:rsid w:val="00781543"/>
    <w:rsid w:val="00785165"/>
    <w:rsid w:val="00787F10"/>
    <w:rsid w:val="007943B8"/>
    <w:rsid w:val="007A0682"/>
    <w:rsid w:val="007A303D"/>
    <w:rsid w:val="007B52D3"/>
    <w:rsid w:val="007B6368"/>
    <w:rsid w:val="007C7DB0"/>
    <w:rsid w:val="007E621B"/>
    <w:rsid w:val="00800454"/>
    <w:rsid w:val="00807F38"/>
    <w:rsid w:val="00817A59"/>
    <w:rsid w:val="00817E5D"/>
    <w:rsid w:val="008230B6"/>
    <w:rsid w:val="00823580"/>
    <w:rsid w:val="0082467E"/>
    <w:rsid w:val="0083080D"/>
    <w:rsid w:val="008366A7"/>
    <w:rsid w:val="00842F95"/>
    <w:rsid w:val="00850D2E"/>
    <w:rsid w:val="008546AF"/>
    <w:rsid w:val="00865DB8"/>
    <w:rsid w:val="008A34B8"/>
    <w:rsid w:val="008A391B"/>
    <w:rsid w:val="008C2073"/>
    <w:rsid w:val="008C7685"/>
    <w:rsid w:val="008D3422"/>
    <w:rsid w:val="008E236F"/>
    <w:rsid w:val="008E3D97"/>
    <w:rsid w:val="008E4F74"/>
    <w:rsid w:val="008E74DC"/>
    <w:rsid w:val="008F0D4C"/>
    <w:rsid w:val="008F4975"/>
    <w:rsid w:val="009027E7"/>
    <w:rsid w:val="00924729"/>
    <w:rsid w:val="00927942"/>
    <w:rsid w:val="009344E5"/>
    <w:rsid w:val="009356D3"/>
    <w:rsid w:val="00953B9F"/>
    <w:rsid w:val="0095497A"/>
    <w:rsid w:val="00962E23"/>
    <w:rsid w:val="00962E59"/>
    <w:rsid w:val="009659F9"/>
    <w:rsid w:val="00966721"/>
    <w:rsid w:val="009955F9"/>
    <w:rsid w:val="009B377A"/>
    <w:rsid w:val="009B7DF6"/>
    <w:rsid w:val="009C49A4"/>
    <w:rsid w:val="009D0CFF"/>
    <w:rsid w:val="009F20CD"/>
    <w:rsid w:val="009F3CC4"/>
    <w:rsid w:val="009F3D08"/>
    <w:rsid w:val="00A02584"/>
    <w:rsid w:val="00A22102"/>
    <w:rsid w:val="00A246D7"/>
    <w:rsid w:val="00A30652"/>
    <w:rsid w:val="00A314BF"/>
    <w:rsid w:val="00A33111"/>
    <w:rsid w:val="00A34D23"/>
    <w:rsid w:val="00A353CC"/>
    <w:rsid w:val="00A423D3"/>
    <w:rsid w:val="00A43043"/>
    <w:rsid w:val="00A437A5"/>
    <w:rsid w:val="00A507BD"/>
    <w:rsid w:val="00A5305C"/>
    <w:rsid w:val="00A54B25"/>
    <w:rsid w:val="00A550DF"/>
    <w:rsid w:val="00A55D46"/>
    <w:rsid w:val="00A64CE6"/>
    <w:rsid w:val="00A70C33"/>
    <w:rsid w:val="00A850BE"/>
    <w:rsid w:val="00A90B22"/>
    <w:rsid w:val="00A95A6C"/>
    <w:rsid w:val="00AA6CED"/>
    <w:rsid w:val="00AC2D54"/>
    <w:rsid w:val="00AD3048"/>
    <w:rsid w:val="00AD4CF6"/>
    <w:rsid w:val="00AE38C1"/>
    <w:rsid w:val="00AF181B"/>
    <w:rsid w:val="00AF561B"/>
    <w:rsid w:val="00B04C12"/>
    <w:rsid w:val="00B06F06"/>
    <w:rsid w:val="00B20021"/>
    <w:rsid w:val="00B22E6A"/>
    <w:rsid w:val="00B27059"/>
    <w:rsid w:val="00B404AD"/>
    <w:rsid w:val="00B42299"/>
    <w:rsid w:val="00B43309"/>
    <w:rsid w:val="00B4694F"/>
    <w:rsid w:val="00B53846"/>
    <w:rsid w:val="00B66F5D"/>
    <w:rsid w:val="00B67BD9"/>
    <w:rsid w:val="00B736F1"/>
    <w:rsid w:val="00B91A13"/>
    <w:rsid w:val="00B941FA"/>
    <w:rsid w:val="00BA52BE"/>
    <w:rsid w:val="00BA686C"/>
    <w:rsid w:val="00BC232B"/>
    <w:rsid w:val="00BC360F"/>
    <w:rsid w:val="00BC68F8"/>
    <w:rsid w:val="00BD5830"/>
    <w:rsid w:val="00BE013D"/>
    <w:rsid w:val="00BE221A"/>
    <w:rsid w:val="00BF2CA4"/>
    <w:rsid w:val="00BF5F73"/>
    <w:rsid w:val="00C03322"/>
    <w:rsid w:val="00C20FEB"/>
    <w:rsid w:val="00C21097"/>
    <w:rsid w:val="00C308A8"/>
    <w:rsid w:val="00C40577"/>
    <w:rsid w:val="00C4450C"/>
    <w:rsid w:val="00C45185"/>
    <w:rsid w:val="00C46151"/>
    <w:rsid w:val="00C52625"/>
    <w:rsid w:val="00C52CA2"/>
    <w:rsid w:val="00C65B22"/>
    <w:rsid w:val="00C734A1"/>
    <w:rsid w:val="00C87875"/>
    <w:rsid w:val="00C90C45"/>
    <w:rsid w:val="00CA521F"/>
    <w:rsid w:val="00CA72E8"/>
    <w:rsid w:val="00CC5EEE"/>
    <w:rsid w:val="00CD2350"/>
    <w:rsid w:val="00CD24B0"/>
    <w:rsid w:val="00CD58CE"/>
    <w:rsid w:val="00CD7B84"/>
    <w:rsid w:val="00CE0213"/>
    <w:rsid w:val="00CF00B0"/>
    <w:rsid w:val="00CF0F66"/>
    <w:rsid w:val="00CF1220"/>
    <w:rsid w:val="00CF2108"/>
    <w:rsid w:val="00CF3545"/>
    <w:rsid w:val="00D014C4"/>
    <w:rsid w:val="00D10CB5"/>
    <w:rsid w:val="00D11B01"/>
    <w:rsid w:val="00D20B5D"/>
    <w:rsid w:val="00D3374F"/>
    <w:rsid w:val="00D36926"/>
    <w:rsid w:val="00D3791F"/>
    <w:rsid w:val="00D37C09"/>
    <w:rsid w:val="00D46816"/>
    <w:rsid w:val="00D538A6"/>
    <w:rsid w:val="00D574E5"/>
    <w:rsid w:val="00D60C8C"/>
    <w:rsid w:val="00D678FA"/>
    <w:rsid w:val="00D704A0"/>
    <w:rsid w:val="00D76EC3"/>
    <w:rsid w:val="00D77BC5"/>
    <w:rsid w:val="00D83A43"/>
    <w:rsid w:val="00D94A79"/>
    <w:rsid w:val="00D94CFA"/>
    <w:rsid w:val="00DA034F"/>
    <w:rsid w:val="00DA41E0"/>
    <w:rsid w:val="00DB078B"/>
    <w:rsid w:val="00DB520F"/>
    <w:rsid w:val="00DB6230"/>
    <w:rsid w:val="00DB77B0"/>
    <w:rsid w:val="00DD0A17"/>
    <w:rsid w:val="00DD159E"/>
    <w:rsid w:val="00DE09CB"/>
    <w:rsid w:val="00DE1EF5"/>
    <w:rsid w:val="00DE6F90"/>
    <w:rsid w:val="00DF7DDC"/>
    <w:rsid w:val="00E00C5A"/>
    <w:rsid w:val="00E0730D"/>
    <w:rsid w:val="00E1269B"/>
    <w:rsid w:val="00E133F3"/>
    <w:rsid w:val="00E13440"/>
    <w:rsid w:val="00E15006"/>
    <w:rsid w:val="00E17109"/>
    <w:rsid w:val="00E2348F"/>
    <w:rsid w:val="00E2444E"/>
    <w:rsid w:val="00E4055D"/>
    <w:rsid w:val="00E41CCA"/>
    <w:rsid w:val="00E42579"/>
    <w:rsid w:val="00E567C4"/>
    <w:rsid w:val="00E63144"/>
    <w:rsid w:val="00E72334"/>
    <w:rsid w:val="00E8431B"/>
    <w:rsid w:val="00E90B81"/>
    <w:rsid w:val="00EA1160"/>
    <w:rsid w:val="00EA21C0"/>
    <w:rsid w:val="00EA364F"/>
    <w:rsid w:val="00EB2479"/>
    <w:rsid w:val="00EB500B"/>
    <w:rsid w:val="00EC1D75"/>
    <w:rsid w:val="00EC7F11"/>
    <w:rsid w:val="00ED1E7A"/>
    <w:rsid w:val="00EE31F6"/>
    <w:rsid w:val="00EF0A40"/>
    <w:rsid w:val="00F125C9"/>
    <w:rsid w:val="00F25D86"/>
    <w:rsid w:val="00F40395"/>
    <w:rsid w:val="00F44CD3"/>
    <w:rsid w:val="00F4565E"/>
    <w:rsid w:val="00F46904"/>
    <w:rsid w:val="00F479EA"/>
    <w:rsid w:val="00F50CB8"/>
    <w:rsid w:val="00F525E7"/>
    <w:rsid w:val="00F536DE"/>
    <w:rsid w:val="00F56452"/>
    <w:rsid w:val="00F7078D"/>
    <w:rsid w:val="00F72310"/>
    <w:rsid w:val="00F828F7"/>
    <w:rsid w:val="00F85C63"/>
    <w:rsid w:val="00F91D1F"/>
    <w:rsid w:val="00F96C5D"/>
    <w:rsid w:val="00FB4062"/>
    <w:rsid w:val="00FC4A12"/>
    <w:rsid w:val="00FC5728"/>
    <w:rsid w:val="00FD1F4A"/>
    <w:rsid w:val="00FD2749"/>
    <w:rsid w:val="00FD336C"/>
    <w:rsid w:val="00FD53E5"/>
    <w:rsid w:val="00FE7E75"/>
    <w:rsid w:val="00FF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6D42F"/>
  <w15:chartTrackingRefBased/>
  <w15:docId w15:val="{BBCAE8AA-687D-42B4-948E-487E0B57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F4565E"/>
    <w:rPr>
      <w:color w:val="800080"/>
      <w:u w:val="single"/>
    </w:rPr>
  </w:style>
  <w:style w:type="paragraph" w:styleId="Header">
    <w:name w:val="header"/>
    <w:basedOn w:val="Normal"/>
    <w:rsid w:val="00BD5830"/>
    <w:pPr>
      <w:tabs>
        <w:tab w:val="center" w:pos="4320"/>
        <w:tab w:val="right" w:pos="8640"/>
      </w:tabs>
    </w:pPr>
  </w:style>
  <w:style w:type="character" w:styleId="PageNumber">
    <w:name w:val="page number"/>
    <w:basedOn w:val="DefaultParagraphFont"/>
    <w:rsid w:val="00BD5830"/>
  </w:style>
  <w:style w:type="paragraph" w:styleId="Footer">
    <w:name w:val="footer"/>
    <w:basedOn w:val="Normal"/>
    <w:rsid w:val="00BD5830"/>
    <w:pPr>
      <w:tabs>
        <w:tab w:val="center" w:pos="4320"/>
        <w:tab w:val="right" w:pos="8640"/>
      </w:tabs>
    </w:pPr>
  </w:style>
  <w:style w:type="character" w:styleId="Strong">
    <w:name w:val="Strong"/>
    <w:qFormat/>
    <w:rsid w:val="009B7DF6"/>
    <w:rPr>
      <w:b/>
      <w:bCs/>
    </w:rPr>
  </w:style>
  <w:style w:type="character" w:styleId="Hyperlink">
    <w:name w:val="Hyperlink"/>
    <w:rsid w:val="009B7DF6"/>
    <w:rPr>
      <w:color w:val="0000FF"/>
      <w:u w:val="single"/>
    </w:rPr>
  </w:style>
  <w:style w:type="paragraph" w:styleId="NormalWeb">
    <w:name w:val="Normal (Web)"/>
    <w:basedOn w:val="Normal"/>
    <w:rsid w:val="0055353D"/>
    <w:pPr>
      <w:spacing w:before="100" w:beforeAutospacing="1" w:after="100" w:afterAutospacing="1"/>
    </w:pPr>
  </w:style>
  <w:style w:type="character" w:customStyle="1" w:styleId="bodycopy">
    <w:name w:val="bodycopy"/>
    <w:basedOn w:val="DefaultParagraphFont"/>
    <w:rsid w:val="0055353D"/>
  </w:style>
  <w:style w:type="character" w:styleId="Emphasis">
    <w:name w:val="Emphasis"/>
    <w:qFormat/>
    <w:rsid w:val="00D20B5D"/>
    <w:rPr>
      <w:b/>
      <w:bCs/>
      <w:i w:val="0"/>
      <w:iCs w:val="0"/>
    </w:rPr>
  </w:style>
  <w:style w:type="paragraph" w:styleId="BalloonText">
    <w:name w:val="Balloon Text"/>
    <w:basedOn w:val="Normal"/>
    <w:link w:val="BalloonTextChar"/>
    <w:rsid w:val="009955F9"/>
    <w:rPr>
      <w:rFonts w:ascii="Segoe UI" w:hAnsi="Segoe UI" w:cs="Segoe UI"/>
      <w:sz w:val="18"/>
      <w:szCs w:val="18"/>
    </w:rPr>
  </w:style>
  <w:style w:type="character" w:customStyle="1" w:styleId="BalloonTextChar">
    <w:name w:val="Balloon Text Char"/>
    <w:link w:val="BalloonText"/>
    <w:rsid w:val="009955F9"/>
    <w:rPr>
      <w:rFonts w:ascii="Segoe UI" w:hAnsi="Segoe UI" w:cs="Segoe UI"/>
      <w:sz w:val="18"/>
      <w:szCs w:val="18"/>
    </w:rPr>
  </w:style>
  <w:style w:type="paragraph" w:styleId="NoSpacing">
    <w:name w:val="No Spacing"/>
    <w:uiPriority w:val="1"/>
    <w:qFormat/>
    <w:rsid w:val="0093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17323">
      <w:bodyDiv w:val="1"/>
      <w:marLeft w:val="0"/>
      <w:marRight w:val="0"/>
      <w:marTop w:val="0"/>
      <w:marBottom w:val="0"/>
      <w:divBdr>
        <w:top w:val="none" w:sz="0" w:space="0" w:color="auto"/>
        <w:left w:val="none" w:sz="0" w:space="0" w:color="auto"/>
        <w:bottom w:val="none" w:sz="0" w:space="0" w:color="auto"/>
        <w:right w:val="none" w:sz="0" w:space="0" w:color="auto"/>
      </w:divBdr>
    </w:div>
    <w:div w:id="18208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28CC-3638-4B85-956E-E21E09A8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Stuart A</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A</dc:title>
  <dc:subject/>
  <dc:creator>Stuart Ober</dc:creator>
  <cp:keywords/>
  <dc:description/>
  <cp:lastModifiedBy>Stuart Ober</cp:lastModifiedBy>
  <cp:revision>28</cp:revision>
  <cp:lastPrinted>2016-06-16T23:58:00Z</cp:lastPrinted>
  <dcterms:created xsi:type="dcterms:W3CDTF">2019-06-15T05:13:00Z</dcterms:created>
  <dcterms:modified xsi:type="dcterms:W3CDTF">2019-12-13T21:45:00Z</dcterms:modified>
</cp:coreProperties>
</file>